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55288" w14:textId="0902A6D6" w:rsidR="00BF2F10" w:rsidRPr="00C76EA2" w:rsidRDefault="001B2C26" w:rsidP="0095710A">
      <w:pPr>
        <w:spacing w:line="240" w:lineRule="auto"/>
        <w:rPr>
          <w:rFonts w:cstheme="minorHAnsi"/>
          <w:sz w:val="20"/>
          <w:szCs w:val="20"/>
        </w:rPr>
      </w:pPr>
      <w:r w:rsidRPr="00C76EA2">
        <w:rPr>
          <w:rFonts w:cstheme="minorHAnsi"/>
          <w:noProof/>
          <w:sz w:val="20"/>
          <w:szCs w:val="20"/>
        </w:rPr>
        <w:drawing>
          <wp:anchor distT="0" distB="0" distL="114300" distR="114300" simplePos="0" relativeHeight="251658240" behindDoc="0" locked="0" layoutInCell="1" allowOverlap="1" wp14:anchorId="6F3C5E2A" wp14:editId="35238264">
            <wp:simplePos x="0" y="0"/>
            <wp:positionH relativeFrom="margin">
              <wp:posOffset>4800032</wp:posOffset>
            </wp:positionH>
            <wp:positionV relativeFrom="paragraph">
              <wp:posOffset>-423894</wp:posOffset>
            </wp:positionV>
            <wp:extent cx="1166537" cy="943739"/>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6537" cy="943739"/>
                    </a:xfrm>
                    <a:prstGeom prst="rect">
                      <a:avLst/>
                    </a:prstGeom>
                    <a:noFill/>
                    <a:ln>
                      <a:noFill/>
                    </a:ln>
                  </pic:spPr>
                </pic:pic>
              </a:graphicData>
            </a:graphic>
            <wp14:sizeRelH relativeFrom="page">
              <wp14:pctWidth>0</wp14:pctWidth>
            </wp14:sizeRelH>
            <wp14:sizeRelV relativeFrom="page">
              <wp14:pctHeight>0</wp14:pctHeight>
            </wp14:sizeRelV>
          </wp:anchor>
        </w:drawing>
      </w:r>
      <w:r w:rsidR="00BF2F10" w:rsidRPr="00C76EA2">
        <w:rPr>
          <w:rFonts w:cstheme="minorHAnsi"/>
          <w:noProof/>
          <w:sz w:val="20"/>
          <w:szCs w:val="20"/>
        </w:rPr>
        <w:drawing>
          <wp:anchor distT="0" distB="0" distL="114300" distR="114300" simplePos="0" relativeHeight="251658241" behindDoc="0" locked="0" layoutInCell="1" allowOverlap="1" wp14:anchorId="3AB4EA2E" wp14:editId="2CC966A7">
            <wp:simplePos x="0" y="0"/>
            <wp:positionH relativeFrom="margin">
              <wp:posOffset>-171450</wp:posOffset>
            </wp:positionH>
            <wp:positionV relativeFrom="paragraph">
              <wp:posOffset>-229235</wp:posOffset>
            </wp:positionV>
            <wp:extent cx="2172590" cy="7493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59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F804E" w14:textId="01E1D746" w:rsidR="00BF2F10" w:rsidRPr="00C76EA2" w:rsidRDefault="00BF2F10" w:rsidP="0095710A">
      <w:pPr>
        <w:spacing w:line="240" w:lineRule="auto"/>
        <w:rPr>
          <w:rFonts w:cstheme="minorHAnsi"/>
          <w:sz w:val="20"/>
          <w:szCs w:val="20"/>
        </w:rPr>
      </w:pPr>
    </w:p>
    <w:p w14:paraId="17A34F78" w14:textId="0C670B57" w:rsidR="008D1C3D" w:rsidRPr="00C76EA2" w:rsidRDefault="00BF2F10" w:rsidP="0095710A">
      <w:pPr>
        <w:spacing w:line="240" w:lineRule="auto"/>
        <w:rPr>
          <w:rFonts w:cstheme="minorHAnsi"/>
          <w:b/>
          <w:bCs/>
          <w:sz w:val="20"/>
          <w:szCs w:val="20"/>
        </w:rPr>
      </w:pPr>
      <w:r w:rsidRPr="00C76EA2">
        <w:rPr>
          <w:rFonts w:cstheme="minorHAnsi"/>
          <w:b/>
          <w:bCs/>
          <w:sz w:val="20"/>
          <w:szCs w:val="20"/>
        </w:rPr>
        <w:t>202</w:t>
      </w:r>
      <w:r w:rsidR="00D3303E" w:rsidRPr="00C76EA2">
        <w:rPr>
          <w:rFonts w:cstheme="minorHAnsi"/>
          <w:b/>
          <w:bCs/>
          <w:sz w:val="20"/>
          <w:szCs w:val="20"/>
        </w:rPr>
        <w:t>5</w:t>
      </w:r>
      <w:r w:rsidRPr="00C76EA2">
        <w:rPr>
          <w:rFonts w:cstheme="minorHAnsi"/>
          <w:b/>
          <w:bCs/>
          <w:sz w:val="20"/>
          <w:szCs w:val="20"/>
        </w:rPr>
        <w:t xml:space="preserve"> </w:t>
      </w:r>
      <w:r w:rsidR="00D04604" w:rsidRPr="00C76EA2">
        <w:rPr>
          <w:rFonts w:cstheme="minorHAnsi"/>
          <w:b/>
          <w:bCs/>
          <w:sz w:val="20"/>
          <w:szCs w:val="20"/>
        </w:rPr>
        <w:t>Farmers Insurance Open</w:t>
      </w:r>
      <w:r w:rsidRPr="00C76EA2">
        <w:rPr>
          <w:rFonts w:cstheme="minorHAnsi"/>
          <w:b/>
          <w:bCs/>
          <w:sz w:val="20"/>
          <w:szCs w:val="20"/>
        </w:rPr>
        <w:t xml:space="preserve"> </w:t>
      </w:r>
      <w:r w:rsidR="00806A02" w:rsidRPr="00C76EA2">
        <w:rPr>
          <w:rFonts w:cstheme="minorHAnsi"/>
          <w:b/>
          <w:bCs/>
          <w:sz w:val="20"/>
          <w:szCs w:val="20"/>
        </w:rPr>
        <w:t>Message Document</w:t>
      </w:r>
    </w:p>
    <w:p w14:paraId="5D2641C5" w14:textId="583ADD1B" w:rsidR="00AF76F6" w:rsidRPr="00C76EA2" w:rsidRDefault="00AF76F6" w:rsidP="0095710A">
      <w:pPr>
        <w:spacing w:line="240" w:lineRule="auto"/>
        <w:rPr>
          <w:rFonts w:cstheme="minorHAnsi"/>
          <w:sz w:val="20"/>
          <w:szCs w:val="20"/>
        </w:rPr>
      </w:pPr>
      <w:r w:rsidRPr="00C76EA2">
        <w:rPr>
          <w:rFonts w:cstheme="minorHAnsi"/>
          <w:b/>
          <w:bCs/>
          <w:i/>
          <w:iCs/>
          <w:sz w:val="20"/>
          <w:szCs w:val="20"/>
        </w:rPr>
        <w:t>*Reminder:</w:t>
      </w:r>
      <w:r w:rsidRPr="00C76EA2">
        <w:rPr>
          <w:rFonts w:cstheme="minorHAnsi"/>
          <w:b/>
          <w:bCs/>
          <w:sz w:val="20"/>
          <w:szCs w:val="20"/>
        </w:rPr>
        <w:t xml:space="preserve"> </w:t>
      </w:r>
      <w:r w:rsidR="002801F8" w:rsidRPr="00C76EA2">
        <w:rPr>
          <w:rFonts w:cstheme="minorHAnsi"/>
          <w:sz w:val="20"/>
          <w:szCs w:val="20"/>
        </w:rPr>
        <w:t xml:space="preserve">Always use “San Diego” </w:t>
      </w:r>
      <w:r w:rsidR="00922CD8" w:rsidRPr="00C76EA2">
        <w:rPr>
          <w:rFonts w:cstheme="minorHAnsi"/>
          <w:sz w:val="20"/>
          <w:szCs w:val="20"/>
        </w:rPr>
        <w:t xml:space="preserve">instead of “La Jolla” </w:t>
      </w:r>
      <w:r w:rsidR="002801F8" w:rsidRPr="00C76EA2">
        <w:rPr>
          <w:rFonts w:cstheme="minorHAnsi"/>
          <w:sz w:val="20"/>
          <w:szCs w:val="20"/>
        </w:rPr>
        <w:t>when referring to where the event is held</w:t>
      </w:r>
      <w:r w:rsidR="009F0DEE" w:rsidRPr="00C76EA2">
        <w:rPr>
          <w:rFonts w:cstheme="minorHAnsi"/>
          <w:sz w:val="20"/>
          <w:szCs w:val="20"/>
        </w:rPr>
        <w:t>.</w:t>
      </w:r>
    </w:p>
    <w:p w14:paraId="41F79E04" w14:textId="6892904F" w:rsidR="00C76EA2" w:rsidRPr="00C76EA2" w:rsidRDefault="00FB68E5" w:rsidP="00C76EA2">
      <w:pPr>
        <w:pStyle w:val="ListParagraph"/>
        <w:numPr>
          <w:ilvl w:val="0"/>
          <w:numId w:val="12"/>
        </w:numPr>
        <w:spacing w:line="240" w:lineRule="auto"/>
        <w:rPr>
          <w:rFonts w:cstheme="minorHAnsi"/>
          <w:sz w:val="20"/>
          <w:szCs w:val="20"/>
        </w:rPr>
      </w:pPr>
      <w:r w:rsidRPr="00FB68E5">
        <w:rPr>
          <w:rFonts w:cstheme="minorHAnsi"/>
          <w:b/>
          <w:bCs/>
          <w:sz w:val="20"/>
          <w:szCs w:val="20"/>
        </w:rPr>
        <w:t>Farmers supports L.A.:</w:t>
      </w:r>
      <w:r>
        <w:rPr>
          <w:rFonts w:cstheme="minorHAnsi"/>
          <w:sz w:val="20"/>
          <w:szCs w:val="20"/>
        </w:rPr>
        <w:t xml:space="preserve"> </w:t>
      </w:r>
      <w:r w:rsidR="00C76EA2" w:rsidRPr="00C76EA2">
        <w:rPr>
          <w:rFonts w:cstheme="minorHAnsi"/>
          <w:sz w:val="20"/>
          <w:szCs w:val="20"/>
        </w:rPr>
        <w:t>Together with their nonprofit partners, Farmers Insurance help</w:t>
      </w:r>
      <w:r>
        <w:rPr>
          <w:rFonts w:cstheme="minorHAnsi"/>
          <w:sz w:val="20"/>
          <w:szCs w:val="20"/>
        </w:rPr>
        <w:t>s</w:t>
      </w:r>
      <w:r w:rsidR="00C76EA2" w:rsidRPr="00C76EA2">
        <w:rPr>
          <w:rFonts w:cstheme="minorHAnsi"/>
          <w:sz w:val="20"/>
          <w:szCs w:val="20"/>
        </w:rPr>
        <w:t xml:space="preserve"> communities plan and prepare for natural disasters and recover in the aftermath. </w:t>
      </w:r>
      <w:r w:rsidR="00C76EA2" w:rsidRPr="00C76EA2">
        <w:rPr>
          <w:rFonts w:cstheme="minorHAnsi"/>
          <w:color w:val="212121"/>
          <w:sz w:val="20"/>
          <w:szCs w:val="20"/>
        </w:rPr>
        <w:t xml:space="preserve">In support of their continued disaster relief efforts, Farmers will make an additional donation for all birdies across the duration of the tournament competition, contributing to their on-going support of the wildfire relief efforts in the Los Angeles area. </w:t>
      </w:r>
      <w:r>
        <w:rPr>
          <w:rFonts w:cstheme="minorHAnsi"/>
          <w:color w:val="212121"/>
          <w:sz w:val="20"/>
          <w:szCs w:val="20"/>
        </w:rPr>
        <w:t xml:space="preserve">The Farmers Insurance Open is one of six PGA TOUR events played annually in California. </w:t>
      </w:r>
    </w:p>
    <w:p w14:paraId="7EAF96B7" w14:textId="4CD608BA" w:rsidR="003422C6" w:rsidRPr="00C76EA2" w:rsidRDefault="00D3303E" w:rsidP="00337C9C">
      <w:pPr>
        <w:pStyle w:val="ListParagraph"/>
        <w:numPr>
          <w:ilvl w:val="0"/>
          <w:numId w:val="12"/>
        </w:numPr>
        <w:spacing w:line="240" w:lineRule="auto"/>
        <w:rPr>
          <w:rFonts w:cstheme="minorHAnsi"/>
          <w:b/>
          <w:bCs/>
          <w:sz w:val="20"/>
          <w:szCs w:val="20"/>
        </w:rPr>
      </w:pPr>
      <w:r w:rsidRPr="00C76EA2">
        <w:rPr>
          <w:rFonts w:cstheme="minorHAnsi"/>
          <w:b/>
          <w:bCs/>
          <w:sz w:val="20"/>
          <w:szCs w:val="20"/>
        </w:rPr>
        <w:t>Wednesday Start, Saturday Finish</w:t>
      </w:r>
      <w:r w:rsidR="003422C6" w:rsidRPr="00C76EA2">
        <w:rPr>
          <w:rFonts w:cstheme="minorHAnsi"/>
          <w:b/>
          <w:bCs/>
          <w:sz w:val="20"/>
          <w:szCs w:val="20"/>
        </w:rPr>
        <w:t xml:space="preserve">: </w:t>
      </w:r>
      <w:r w:rsidR="00B545F4" w:rsidRPr="00C76EA2">
        <w:rPr>
          <w:rFonts w:cstheme="minorHAnsi"/>
          <w:sz w:val="20"/>
          <w:szCs w:val="20"/>
        </w:rPr>
        <w:t xml:space="preserve">For the </w:t>
      </w:r>
      <w:r w:rsidRPr="00C76EA2">
        <w:rPr>
          <w:rFonts w:cstheme="minorHAnsi"/>
          <w:sz w:val="20"/>
          <w:szCs w:val="20"/>
        </w:rPr>
        <w:t>fourth</w:t>
      </w:r>
      <w:r w:rsidR="00B545F4" w:rsidRPr="00C76EA2">
        <w:rPr>
          <w:rFonts w:cstheme="minorHAnsi"/>
          <w:sz w:val="20"/>
          <w:szCs w:val="20"/>
        </w:rPr>
        <w:t xml:space="preserve"> </w:t>
      </w:r>
      <w:r w:rsidR="008230B6" w:rsidRPr="00C76EA2">
        <w:rPr>
          <w:rFonts w:cstheme="minorHAnsi"/>
          <w:sz w:val="20"/>
          <w:szCs w:val="20"/>
        </w:rPr>
        <w:t>year in a row</w:t>
      </w:r>
      <w:r w:rsidR="00B545F4" w:rsidRPr="00C76EA2">
        <w:rPr>
          <w:rFonts w:cstheme="minorHAnsi"/>
          <w:sz w:val="20"/>
          <w:szCs w:val="20"/>
        </w:rPr>
        <w:t xml:space="preserve">, the </w:t>
      </w:r>
      <w:r w:rsidR="006F5788" w:rsidRPr="00C76EA2">
        <w:rPr>
          <w:rFonts w:cstheme="minorHAnsi"/>
          <w:sz w:val="20"/>
          <w:szCs w:val="20"/>
        </w:rPr>
        <w:t xml:space="preserve">Farmers Insurance Open will </w:t>
      </w:r>
      <w:r w:rsidR="000264EA" w:rsidRPr="00C76EA2">
        <w:rPr>
          <w:rFonts w:cstheme="minorHAnsi"/>
          <w:sz w:val="20"/>
          <w:szCs w:val="20"/>
        </w:rPr>
        <w:t>feature</w:t>
      </w:r>
      <w:r w:rsidR="007D143B" w:rsidRPr="00C76EA2">
        <w:rPr>
          <w:rFonts w:cstheme="minorHAnsi"/>
          <w:sz w:val="20"/>
          <w:szCs w:val="20"/>
        </w:rPr>
        <w:t xml:space="preserve"> a Wednesday start and</w:t>
      </w:r>
      <w:r w:rsidR="001922EC" w:rsidRPr="00C76EA2">
        <w:rPr>
          <w:rFonts w:cstheme="minorHAnsi"/>
          <w:sz w:val="20"/>
          <w:szCs w:val="20"/>
        </w:rPr>
        <w:t xml:space="preserve"> a Saturday finish</w:t>
      </w:r>
      <w:r w:rsidR="005519AE" w:rsidRPr="00C76EA2">
        <w:rPr>
          <w:rFonts w:cstheme="minorHAnsi"/>
          <w:sz w:val="20"/>
          <w:szCs w:val="20"/>
        </w:rPr>
        <w:t>.</w:t>
      </w:r>
      <w:r w:rsidR="00F80EE4" w:rsidRPr="00C76EA2">
        <w:rPr>
          <w:rFonts w:cstheme="minorHAnsi"/>
          <w:sz w:val="20"/>
          <w:szCs w:val="20"/>
        </w:rPr>
        <w:t xml:space="preserve"> CBS</w:t>
      </w:r>
      <w:r w:rsidR="00C22F9D" w:rsidRPr="00C76EA2">
        <w:rPr>
          <w:rFonts w:cstheme="minorHAnsi"/>
          <w:sz w:val="20"/>
          <w:szCs w:val="20"/>
        </w:rPr>
        <w:t xml:space="preserve"> Sports</w:t>
      </w:r>
      <w:r w:rsidR="005519AE" w:rsidRPr="00C76EA2">
        <w:rPr>
          <w:rFonts w:cstheme="minorHAnsi"/>
          <w:sz w:val="20"/>
          <w:szCs w:val="20"/>
        </w:rPr>
        <w:t xml:space="preserve">, </w:t>
      </w:r>
      <w:r w:rsidR="00F77094" w:rsidRPr="00C76EA2">
        <w:rPr>
          <w:rFonts w:cstheme="minorHAnsi"/>
          <w:sz w:val="20"/>
          <w:szCs w:val="20"/>
        </w:rPr>
        <w:t xml:space="preserve">kicking off its </w:t>
      </w:r>
      <w:r w:rsidR="00C22F9D" w:rsidRPr="00C76EA2">
        <w:rPr>
          <w:rFonts w:cstheme="minorHAnsi"/>
          <w:sz w:val="20"/>
          <w:szCs w:val="20"/>
        </w:rPr>
        <w:t>6</w:t>
      </w:r>
      <w:r w:rsidRPr="00C76EA2">
        <w:rPr>
          <w:rFonts w:cstheme="minorHAnsi"/>
          <w:sz w:val="20"/>
          <w:szCs w:val="20"/>
        </w:rPr>
        <w:t>8</w:t>
      </w:r>
      <w:r w:rsidR="00C22F9D" w:rsidRPr="00C76EA2">
        <w:rPr>
          <w:rFonts w:cstheme="minorHAnsi"/>
          <w:sz w:val="20"/>
          <w:szCs w:val="20"/>
          <w:vertAlign w:val="superscript"/>
        </w:rPr>
        <w:t>th</w:t>
      </w:r>
      <w:r w:rsidR="00C22F9D" w:rsidRPr="00C76EA2">
        <w:rPr>
          <w:rFonts w:cstheme="minorHAnsi"/>
          <w:sz w:val="20"/>
          <w:szCs w:val="20"/>
        </w:rPr>
        <w:t xml:space="preserve"> consecutive year televising the PGA TOUR</w:t>
      </w:r>
      <w:r w:rsidR="005519AE" w:rsidRPr="00C76EA2">
        <w:rPr>
          <w:rFonts w:cstheme="minorHAnsi"/>
          <w:sz w:val="20"/>
          <w:szCs w:val="20"/>
        </w:rPr>
        <w:t xml:space="preserve">, </w:t>
      </w:r>
      <w:r w:rsidR="003F2B5E" w:rsidRPr="00C76EA2">
        <w:rPr>
          <w:rFonts w:cstheme="minorHAnsi"/>
          <w:sz w:val="20"/>
          <w:szCs w:val="20"/>
        </w:rPr>
        <w:t xml:space="preserve">will </w:t>
      </w:r>
      <w:r w:rsidR="006D018C" w:rsidRPr="00C76EA2">
        <w:rPr>
          <w:rFonts w:cstheme="minorHAnsi"/>
          <w:sz w:val="20"/>
          <w:szCs w:val="20"/>
        </w:rPr>
        <w:t xml:space="preserve">carry the final two rounds </w:t>
      </w:r>
      <w:r w:rsidR="00F04DCB" w:rsidRPr="00C76EA2">
        <w:rPr>
          <w:rFonts w:cstheme="minorHAnsi"/>
          <w:sz w:val="20"/>
          <w:szCs w:val="20"/>
        </w:rPr>
        <w:t>with</w:t>
      </w:r>
      <w:r w:rsidR="00BC324E" w:rsidRPr="00C76EA2">
        <w:rPr>
          <w:rFonts w:cstheme="minorHAnsi"/>
          <w:sz w:val="20"/>
          <w:szCs w:val="20"/>
        </w:rPr>
        <w:t xml:space="preserve"> evening viewing on the East Coast </w:t>
      </w:r>
      <w:r w:rsidR="00F04DCB" w:rsidRPr="00C76EA2">
        <w:rPr>
          <w:rFonts w:cstheme="minorHAnsi"/>
          <w:sz w:val="20"/>
          <w:szCs w:val="20"/>
        </w:rPr>
        <w:t xml:space="preserve">for an 8 p.m. ET finish. </w:t>
      </w:r>
      <w:r w:rsidR="0015007C" w:rsidRPr="00C76EA2">
        <w:rPr>
          <w:rFonts w:cstheme="minorHAnsi"/>
          <w:sz w:val="20"/>
          <w:szCs w:val="20"/>
        </w:rPr>
        <w:t>Jim Nantz</w:t>
      </w:r>
      <w:r w:rsidR="00994048" w:rsidRPr="00C76EA2">
        <w:rPr>
          <w:rFonts w:cstheme="minorHAnsi"/>
          <w:sz w:val="20"/>
          <w:szCs w:val="20"/>
        </w:rPr>
        <w:t xml:space="preserve"> </w:t>
      </w:r>
      <w:r w:rsidR="005E5209" w:rsidRPr="00C76EA2">
        <w:rPr>
          <w:rFonts w:cstheme="minorHAnsi"/>
          <w:sz w:val="20"/>
          <w:szCs w:val="20"/>
        </w:rPr>
        <w:t xml:space="preserve">will </w:t>
      </w:r>
      <w:r w:rsidR="0015007C" w:rsidRPr="00C76EA2">
        <w:rPr>
          <w:rFonts w:cstheme="minorHAnsi"/>
          <w:sz w:val="20"/>
          <w:szCs w:val="20"/>
        </w:rPr>
        <w:t xml:space="preserve">once again call the action live from the site of the AFC Championship game in </w:t>
      </w:r>
      <w:r w:rsidR="009A6733" w:rsidRPr="00C76EA2">
        <w:rPr>
          <w:rFonts w:cstheme="minorHAnsi"/>
          <w:sz w:val="20"/>
          <w:szCs w:val="20"/>
        </w:rPr>
        <w:t>Kansas City</w:t>
      </w:r>
      <w:r w:rsidR="0015007C" w:rsidRPr="00C76EA2">
        <w:rPr>
          <w:rFonts w:cstheme="minorHAnsi"/>
          <w:sz w:val="20"/>
          <w:szCs w:val="20"/>
        </w:rPr>
        <w:t>.</w:t>
      </w:r>
      <w:r w:rsidR="00432EA5" w:rsidRPr="00C76EA2">
        <w:rPr>
          <w:rFonts w:cstheme="minorHAnsi"/>
          <w:sz w:val="20"/>
          <w:szCs w:val="20"/>
        </w:rPr>
        <w:t xml:space="preserve"> </w:t>
      </w:r>
    </w:p>
    <w:p w14:paraId="7E6CB7E7" w14:textId="4A19A17C" w:rsidR="00856955" w:rsidRPr="00C76EA2" w:rsidRDefault="00D84F8E" w:rsidP="00856955">
      <w:pPr>
        <w:pStyle w:val="ListParagraph"/>
        <w:numPr>
          <w:ilvl w:val="0"/>
          <w:numId w:val="12"/>
        </w:numPr>
        <w:spacing w:line="240" w:lineRule="auto"/>
        <w:rPr>
          <w:rFonts w:cstheme="minorHAnsi"/>
          <w:sz w:val="20"/>
          <w:szCs w:val="20"/>
        </w:rPr>
      </w:pPr>
      <w:r w:rsidRPr="00C76EA2">
        <w:rPr>
          <w:rFonts w:cstheme="minorHAnsi"/>
          <w:b/>
          <w:bCs/>
          <w:sz w:val="20"/>
          <w:szCs w:val="20"/>
        </w:rPr>
        <w:t xml:space="preserve">Aon Swing </w:t>
      </w:r>
      <w:r w:rsidR="00311027" w:rsidRPr="00C76EA2">
        <w:rPr>
          <w:rFonts w:cstheme="minorHAnsi"/>
          <w:b/>
          <w:bCs/>
          <w:sz w:val="20"/>
          <w:szCs w:val="20"/>
        </w:rPr>
        <w:t>5</w:t>
      </w:r>
      <w:r w:rsidR="008660E3" w:rsidRPr="00C76EA2">
        <w:rPr>
          <w:rFonts w:cstheme="minorHAnsi"/>
          <w:b/>
          <w:bCs/>
          <w:sz w:val="20"/>
          <w:szCs w:val="20"/>
        </w:rPr>
        <w:t xml:space="preserve"> –</w:t>
      </w:r>
      <w:r w:rsidR="000264EA" w:rsidRPr="00C76EA2">
        <w:rPr>
          <w:rFonts w:cstheme="minorHAnsi"/>
          <w:b/>
          <w:bCs/>
          <w:sz w:val="20"/>
          <w:szCs w:val="20"/>
        </w:rPr>
        <w:t xml:space="preserve"> AT&amp;T Pebble Beach Pro-Am</w:t>
      </w:r>
      <w:r w:rsidRPr="00C76EA2">
        <w:rPr>
          <w:rFonts w:cstheme="minorHAnsi"/>
          <w:b/>
          <w:bCs/>
          <w:sz w:val="20"/>
          <w:szCs w:val="20"/>
        </w:rPr>
        <w:t xml:space="preserve">: </w:t>
      </w:r>
      <w:r w:rsidR="004D1BD1" w:rsidRPr="00C76EA2">
        <w:rPr>
          <w:rFonts w:cstheme="minorHAnsi"/>
          <w:sz w:val="20"/>
          <w:szCs w:val="20"/>
        </w:rPr>
        <w:t xml:space="preserve">The Farmers Insurance Open marks the final week for players to qualify for the AT&amp;T Pebble Beach Pro-Am through the Aon Swing 5. </w:t>
      </w:r>
      <w:r w:rsidR="00FE2033" w:rsidRPr="00C76EA2">
        <w:rPr>
          <w:rFonts w:cstheme="minorHAnsi"/>
          <w:sz w:val="20"/>
          <w:szCs w:val="20"/>
        </w:rPr>
        <w:t xml:space="preserve">While the winner continues to earn a two-year exemption, 500 FedExCup points and entry into all 2025 Signature Events, </w:t>
      </w:r>
      <w:r w:rsidR="008660DA" w:rsidRPr="00C76EA2">
        <w:rPr>
          <w:rFonts w:cstheme="minorHAnsi"/>
          <w:sz w:val="20"/>
          <w:szCs w:val="20"/>
        </w:rPr>
        <w:t>top finishers</w:t>
      </w:r>
      <w:r w:rsidR="00FE2033" w:rsidRPr="00C76EA2">
        <w:rPr>
          <w:rFonts w:cstheme="minorHAnsi"/>
          <w:sz w:val="20"/>
          <w:szCs w:val="20"/>
        </w:rPr>
        <w:t xml:space="preserve"> </w:t>
      </w:r>
      <w:r w:rsidR="008660DA" w:rsidRPr="00C76EA2">
        <w:rPr>
          <w:rFonts w:cstheme="minorHAnsi"/>
          <w:sz w:val="20"/>
          <w:szCs w:val="20"/>
        </w:rPr>
        <w:t xml:space="preserve">can earn </w:t>
      </w:r>
      <w:r w:rsidR="00643DCE" w:rsidRPr="00C76EA2">
        <w:rPr>
          <w:rFonts w:cstheme="minorHAnsi"/>
          <w:sz w:val="20"/>
          <w:szCs w:val="20"/>
        </w:rPr>
        <w:t>their way into upcoming Signature Events</w:t>
      </w:r>
      <w:r w:rsidR="008660DA" w:rsidRPr="00C76EA2">
        <w:rPr>
          <w:rFonts w:cstheme="minorHAnsi"/>
          <w:sz w:val="20"/>
          <w:szCs w:val="20"/>
        </w:rPr>
        <w:t xml:space="preserve">. </w:t>
      </w:r>
      <w:r w:rsidR="00185709" w:rsidRPr="00C76EA2">
        <w:rPr>
          <w:rFonts w:cstheme="minorHAnsi"/>
          <w:sz w:val="20"/>
          <w:szCs w:val="20"/>
        </w:rPr>
        <w:t xml:space="preserve">The top five players not otherwise exempt who earn the most FedExCup points during the Sony Open in Hawaii, The American Express and Farmers Insurance Open will qualify for </w:t>
      </w:r>
      <w:r w:rsidR="00245FD1" w:rsidRPr="00C76EA2">
        <w:rPr>
          <w:rFonts w:cstheme="minorHAnsi"/>
          <w:sz w:val="20"/>
          <w:szCs w:val="20"/>
        </w:rPr>
        <w:t xml:space="preserve">next week’s </w:t>
      </w:r>
      <w:r w:rsidR="00185709" w:rsidRPr="00C76EA2">
        <w:rPr>
          <w:rFonts w:cstheme="minorHAnsi"/>
          <w:sz w:val="20"/>
          <w:szCs w:val="20"/>
        </w:rPr>
        <w:t>AT&amp;T Pebble Beach Pro-Am, while the top five players not otherwise exempt who earn the most FedExCup points during those three events and the WM Phoenix Open, will qualify for The Genesis Invitational. The Aon Next 10 for the AT&amp;T Pebble Beach Pro-Am and The Genesis Invitational was determined through the FedExCup Fall standings.</w:t>
      </w:r>
    </w:p>
    <w:p w14:paraId="5B89AA29" w14:textId="1E34A14D" w:rsidR="00BB32BD" w:rsidRPr="00C76EA2" w:rsidRDefault="00856955" w:rsidP="00BB32BD">
      <w:pPr>
        <w:pStyle w:val="ListParagraph"/>
        <w:numPr>
          <w:ilvl w:val="1"/>
          <w:numId w:val="18"/>
        </w:numPr>
        <w:spacing w:line="240" w:lineRule="auto"/>
        <w:rPr>
          <w:rFonts w:cstheme="minorHAnsi"/>
          <w:sz w:val="20"/>
          <w:szCs w:val="20"/>
        </w:rPr>
      </w:pPr>
      <w:r w:rsidRPr="00C76EA2">
        <w:rPr>
          <w:rFonts w:cstheme="minorHAnsi"/>
          <w:b/>
          <w:bCs/>
          <w:sz w:val="20"/>
          <w:szCs w:val="20"/>
        </w:rPr>
        <w:t xml:space="preserve">2024 rewind: </w:t>
      </w:r>
      <w:r w:rsidR="008F1735" w:rsidRPr="00C76EA2">
        <w:rPr>
          <w:rFonts w:cstheme="minorHAnsi"/>
          <w:sz w:val="20"/>
          <w:szCs w:val="20"/>
        </w:rPr>
        <w:t xml:space="preserve">PGA TOUR rookie </w:t>
      </w:r>
      <w:r w:rsidR="009E548E" w:rsidRPr="00C76EA2">
        <w:rPr>
          <w:rFonts w:cstheme="minorHAnsi"/>
          <w:sz w:val="20"/>
          <w:szCs w:val="20"/>
        </w:rPr>
        <w:t xml:space="preserve">Matthieu Pavon </w:t>
      </w:r>
      <w:r w:rsidR="00876122" w:rsidRPr="00C76EA2">
        <w:rPr>
          <w:rFonts w:cstheme="minorHAnsi"/>
          <w:sz w:val="20"/>
          <w:szCs w:val="20"/>
        </w:rPr>
        <w:t>claimed his first TOUR title</w:t>
      </w:r>
      <w:r w:rsidR="00AE11F2" w:rsidRPr="00C76EA2">
        <w:rPr>
          <w:rFonts w:cstheme="minorHAnsi"/>
          <w:sz w:val="20"/>
          <w:szCs w:val="20"/>
        </w:rPr>
        <w:t xml:space="preserve"> at the Farmers Insurance Open</w:t>
      </w:r>
      <w:r w:rsidR="00876122" w:rsidRPr="00C76EA2">
        <w:rPr>
          <w:rFonts w:cstheme="minorHAnsi"/>
          <w:sz w:val="20"/>
          <w:szCs w:val="20"/>
        </w:rPr>
        <w:t xml:space="preserve"> </w:t>
      </w:r>
      <w:r w:rsidR="00CE78F8" w:rsidRPr="00C76EA2">
        <w:rPr>
          <w:rFonts w:cstheme="minorHAnsi"/>
          <w:sz w:val="20"/>
          <w:szCs w:val="20"/>
        </w:rPr>
        <w:t>to earn the top position in the Aon Swing 5 and qualify for the AT&amp;T Pebble Beach Pro-Am, where he finished third</w:t>
      </w:r>
      <w:r w:rsidR="00C33EDF" w:rsidRPr="00C76EA2">
        <w:rPr>
          <w:rFonts w:cstheme="minorHAnsi"/>
          <w:sz w:val="20"/>
          <w:szCs w:val="20"/>
        </w:rPr>
        <w:t xml:space="preserve">. Kevin Yu (T6) and Stephan Jaeger (T3) also capitalized on strong finishes at </w:t>
      </w:r>
      <w:r w:rsidR="00D40D00" w:rsidRPr="00C76EA2">
        <w:rPr>
          <w:rFonts w:cstheme="minorHAnsi"/>
          <w:sz w:val="20"/>
          <w:szCs w:val="20"/>
        </w:rPr>
        <w:t>Torrey Pines</w:t>
      </w:r>
      <w:r w:rsidR="00C33EDF" w:rsidRPr="00C76EA2">
        <w:rPr>
          <w:rFonts w:cstheme="minorHAnsi"/>
          <w:sz w:val="20"/>
          <w:szCs w:val="20"/>
        </w:rPr>
        <w:t xml:space="preserve"> to earn their way to Pebble Beach</w:t>
      </w:r>
      <w:r w:rsidR="007A635B" w:rsidRPr="00C76EA2">
        <w:rPr>
          <w:rFonts w:cstheme="minorHAnsi"/>
          <w:sz w:val="20"/>
          <w:szCs w:val="20"/>
        </w:rPr>
        <w:t xml:space="preserve"> and </w:t>
      </w:r>
      <w:r w:rsidR="008941A3" w:rsidRPr="00C76EA2">
        <w:rPr>
          <w:rFonts w:cstheme="minorHAnsi"/>
          <w:sz w:val="20"/>
          <w:szCs w:val="20"/>
        </w:rPr>
        <w:t xml:space="preserve">build momentum for successful seasons. Jaeger claimed his first TOUR title two months later at the Texas Children’s Houston Open and finished inside the top 50 in the 2024 FedExCup, while </w:t>
      </w:r>
      <w:proofErr w:type="spellStart"/>
      <w:r w:rsidR="008941A3" w:rsidRPr="00C76EA2">
        <w:rPr>
          <w:rFonts w:cstheme="minorHAnsi"/>
          <w:sz w:val="20"/>
          <w:szCs w:val="20"/>
        </w:rPr>
        <w:t>Yu</w:t>
      </w:r>
      <w:proofErr w:type="spellEnd"/>
      <w:r w:rsidR="0088590C" w:rsidRPr="00C76EA2">
        <w:rPr>
          <w:rFonts w:cstheme="minorHAnsi"/>
          <w:sz w:val="20"/>
          <w:szCs w:val="20"/>
        </w:rPr>
        <w:t xml:space="preserve"> </w:t>
      </w:r>
      <w:r w:rsidR="008941A3" w:rsidRPr="00C76EA2">
        <w:rPr>
          <w:rFonts w:cstheme="minorHAnsi"/>
          <w:sz w:val="20"/>
          <w:szCs w:val="20"/>
        </w:rPr>
        <w:t xml:space="preserve">captured the Sanderson Farms Championship in the FedExCup Fall </w:t>
      </w:r>
      <w:r w:rsidR="00E8209C" w:rsidRPr="00C76EA2">
        <w:rPr>
          <w:rFonts w:cstheme="minorHAnsi"/>
          <w:sz w:val="20"/>
          <w:szCs w:val="20"/>
        </w:rPr>
        <w:t>for his first TOUR victory and secured his position within the Aon Next 10 for the AT&amp;T Pebble Beach Pro-Am and The Genesis Invitational.</w:t>
      </w:r>
    </w:p>
    <w:tbl>
      <w:tblPr>
        <w:tblStyle w:val="TableGrid"/>
        <w:tblW w:w="0" w:type="auto"/>
        <w:tblInd w:w="1424" w:type="dxa"/>
        <w:tblLook w:val="04A0" w:firstRow="1" w:lastRow="0" w:firstColumn="1" w:lastColumn="0" w:noHBand="0" w:noVBand="1"/>
      </w:tblPr>
      <w:tblGrid>
        <w:gridCol w:w="731"/>
        <w:gridCol w:w="1634"/>
        <w:gridCol w:w="1331"/>
      </w:tblGrid>
      <w:tr w:rsidR="00BB32BD" w:rsidRPr="00C76EA2" w14:paraId="59A5AEB7" w14:textId="77777777" w:rsidTr="00BB32BD">
        <w:tc>
          <w:tcPr>
            <w:tcW w:w="731" w:type="dxa"/>
            <w:shd w:val="clear" w:color="auto" w:fill="000000" w:themeFill="text1"/>
          </w:tcPr>
          <w:p w14:paraId="4B51DD5B" w14:textId="77777777" w:rsidR="00BB32BD" w:rsidRPr="00C76EA2" w:rsidRDefault="00BB32BD" w:rsidP="00F102ED">
            <w:pPr>
              <w:rPr>
                <w:rFonts w:cstheme="minorHAnsi"/>
                <w:b/>
                <w:sz w:val="20"/>
                <w:szCs w:val="20"/>
              </w:rPr>
            </w:pPr>
          </w:p>
        </w:tc>
        <w:tc>
          <w:tcPr>
            <w:tcW w:w="2965" w:type="dxa"/>
            <w:gridSpan w:val="2"/>
            <w:shd w:val="clear" w:color="auto" w:fill="000000" w:themeFill="text1"/>
          </w:tcPr>
          <w:p w14:paraId="1EA5CC92" w14:textId="2A4AC627" w:rsidR="00BB32BD" w:rsidRPr="00C76EA2" w:rsidRDefault="00BB32BD" w:rsidP="00F102ED">
            <w:pPr>
              <w:rPr>
                <w:rFonts w:cstheme="minorHAnsi"/>
                <w:b/>
                <w:sz w:val="20"/>
                <w:szCs w:val="20"/>
              </w:rPr>
            </w:pPr>
            <w:r w:rsidRPr="00C76EA2">
              <w:rPr>
                <w:rFonts w:cstheme="minorHAnsi"/>
                <w:b/>
                <w:sz w:val="20"/>
                <w:szCs w:val="20"/>
              </w:rPr>
              <w:t>Updated Aon Swing 5 standings (through The American Express)</w:t>
            </w:r>
          </w:p>
        </w:tc>
      </w:tr>
      <w:tr w:rsidR="00BB32BD" w:rsidRPr="00C76EA2" w14:paraId="0E0A559C" w14:textId="77777777" w:rsidTr="00BB32BD">
        <w:tc>
          <w:tcPr>
            <w:tcW w:w="731" w:type="dxa"/>
            <w:shd w:val="clear" w:color="auto" w:fill="FFFFFF" w:themeFill="background1"/>
          </w:tcPr>
          <w:p w14:paraId="442C8CBB" w14:textId="77777777" w:rsidR="00BB32BD" w:rsidRPr="00C76EA2" w:rsidRDefault="00BB32BD" w:rsidP="00F102ED">
            <w:pPr>
              <w:rPr>
                <w:rFonts w:cstheme="minorHAnsi"/>
                <w:b/>
                <w:sz w:val="20"/>
                <w:szCs w:val="20"/>
              </w:rPr>
            </w:pPr>
            <w:r w:rsidRPr="00C76EA2">
              <w:rPr>
                <w:rFonts w:cstheme="minorHAnsi"/>
                <w:b/>
                <w:sz w:val="20"/>
                <w:szCs w:val="20"/>
              </w:rPr>
              <w:t>Rank</w:t>
            </w:r>
          </w:p>
        </w:tc>
        <w:tc>
          <w:tcPr>
            <w:tcW w:w="1634" w:type="dxa"/>
            <w:shd w:val="clear" w:color="auto" w:fill="FFFFFF" w:themeFill="background1"/>
          </w:tcPr>
          <w:p w14:paraId="7C1FAB23" w14:textId="77777777" w:rsidR="00BB32BD" w:rsidRPr="00C76EA2" w:rsidRDefault="00BB32BD" w:rsidP="00F102ED">
            <w:pPr>
              <w:rPr>
                <w:rFonts w:cstheme="minorHAnsi"/>
                <w:b/>
                <w:sz w:val="20"/>
                <w:szCs w:val="20"/>
              </w:rPr>
            </w:pPr>
            <w:r w:rsidRPr="00C76EA2">
              <w:rPr>
                <w:rFonts w:cstheme="minorHAnsi"/>
                <w:b/>
                <w:sz w:val="20"/>
                <w:szCs w:val="20"/>
              </w:rPr>
              <w:t>Player</w:t>
            </w:r>
          </w:p>
        </w:tc>
        <w:tc>
          <w:tcPr>
            <w:tcW w:w="1331" w:type="dxa"/>
            <w:shd w:val="clear" w:color="auto" w:fill="FFFFFF" w:themeFill="background1"/>
          </w:tcPr>
          <w:p w14:paraId="65F5494F" w14:textId="77777777" w:rsidR="00BB32BD" w:rsidRPr="00C76EA2" w:rsidRDefault="00BB32BD" w:rsidP="00F102ED">
            <w:pPr>
              <w:rPr>
                <w:rFonts w:cstheme="minorHAnsi"/>
                <w:b/>
                <w:sz w:val="20"/>
                <w:szCs w:val="20"/>
              </w:rPr>
            </w:pPr>
            <w:r w:rsidRPr="00C76EA2">
              <w:rPr>
                <w:rFonts w:cstheme="minorHAnsi"/>
                <w:b/>
                <w:sz w:val="20"/>
                <w:szCs w:val="20"/>
              </w:rPr>
              <w:t>Points</w:t>
            </w:r>
          </w:p>
        </w:tc>
      </w:tr>
      <w:tr w:rsidR="00BB32BD" w:rsidRPr="00C76EA2" w14:paraId="2D5C9C4B" w14:textId="77777777" w:rsidTr="00BB32BD">
        <w:tc>
          <w:tcPr>
            <w:tcW w:w="731" w:type="dxa"/>
          </w:tcPr>
          <w:p w14:paraId="3D830974" w14:textId="77777777" w:rsidR="00BB32BD" w:rsidRPr="00C76EA2" w:rsidRDefault="00BB32BD" w:rsidP="00F102ED">
            <w:pPr>
              <w:rPr>
                <w:rFonts w:cstheme="minorHAnsi"/>
                <w:bCs/>
                <w:sz w:val="20"/>
                <w:szCs w:val="20"/>
              </w:rPr>
            </w:pPr>
            <w:r w:rsidRPr="00C76EA2">
              <w:rPr>
                <w:rFonts w:cstheme="minorHAnsi"/>
                <w:bCs/>
                <w:sz w:val="20"/>
                <w:szCs w:val="20"/>
              </w:rPr>
              <w:t>1</w:t>
            </w:r>
          </w:p>
        </w:tc>
        <w:tc>
          <w:tcPr>
            <w:tcW w:w="1634" w:type="dxa"/>
          </w:tcPr>
          <w:p w14:paraId="670E816D" w14:textId="77777777" w:rsidR="00BB32BD" w:rsidRPr="00C76EA2" w:rsidRDefault="00BB32BD" w:rsidP="00F102ED">
            <w:pPr>
              <w:rPr>
                <w:rFonts w:cstheme="minorHAnsi"/>
                <w:bCs/>
                <w:sz w:val="20"/>
                <w:szCs w:val="20"/>
              </w:rPr>
            </w:pPr>
            <w:r w:rsidRPr="00C76EA2">
              <w:rPr>
                <w:rFonts w:cstheme="minorHAnsi"/>
                <w:bCs/>
                <w:sz w:val="20"/>
                <w:szCs w:val="20"/>
              </w:rPr>
              <w:t>J.J. Spaun</w:t>
            </w:r>
          </w:p>
        </w:tc>
        <w:tc>
          <w:tcPr>
            <w:tcW w:w="1331" w:type="dxa"/>
          </w:tcPr>
          <w:p w14:paraId="32882E15" w14:textId="72C96757" w:rsidR="00BB32BD" w:rsidRPr="00C76EA2" w:rsidRDefault="00BB32BD" w:rsidP="00F102ED">
            <w:pPr>
              <w:rPr>
                <w:rFonts w:cstheme="minorHAnsi"/>
                <w:bCs/>
                <w:sz w:val="20"/>
                <w:szCs w:val="20"/>
              </w:rPr>
            </w:pPr>
            <w:r w:rsidRPr="00C76EA2">
              <w:rPr>
                <w:rFonts w:cstheme="minorHAnsi"/>
                <w:bCs/>
                <w:sz w:val="20"/>
                <w:szCs w:val="20"/>
              </w:rPr>
              <w:t>1</w:t>
            </w:r>
            <w:r w:rsidR="0097351B" w:rsidRPr="00C76EA2">
              <w:rPr>
                <w:rFonts w:cstheme="minorHAnsi"/>
                <w:bCs/>
                <w:sz w:val="20"/>
                <w:szCs w:val="20"/>
              </w:rPr>
              <w:t>89</w:t>
            </w:r>
          </w:p>
        </w:tc>
      </w:tr>
      <w:tr w:rsidR="00BB32BD" w:rsidRPr="00C76EA2" w14:paraId="496E0D11" w14:textId="77777777" w:rsidTr="00BB32BD">
        <w:tc>
          <w:tcPr>
            <w:tcW w:w="731" w:type="dxa"/>
          </w:tcPr>
          <w:p w14:paraId="54E4B9B8" w14:textId="4CC0AFD6" w:rsidR="00BB32BD" w:rsidRPr="00C76EA2" w:rsidRDefault="00BB32BD" w:rsidP="00F102ED">
            <w:pPr>
              <w:rPr>
                <w:rFonts w:cstheme="minorHAnsi"/>
                <w:bCs/>
                <w:sz w:val="20"/>
                <w:szCs w:val="20"/>
              </w:rPr>
            </w:pPr>
            <w:r w:rsidRPr="00C76EA2">
              <w:rPr>
                <w:rFonts w:cstheme="minorHAnsi"/>
                <w:bCs/>
                <w:sz w:val="20"/>
                <w:szCs w:val="20"/>
              </w:rPr>
              <w:t>2</w:t>
            </w:r>
          </w:p>
        </w:tc>
        <w:tc>
          <w:tcPr>
            <w:tcW w:w="1634" w:type="dxa"/>
          </w:tcPr>
          <w:p w14:paraId="6DED11AE" w14:textId="45E3C7B1" w:rsidR="00BB32BD" w:rsidRPr="00C76EA2" w:rsidRDefault="00197DB8" w:rsidP="00F102ED">
            <w:pPr>
              <w:rPr>
                <w:rFonts w:cstheme="minorHAnsi"/>
                <w:bCs/>
                <w:sz w:val="20"/>
                <w:szCs w:val="20"/>
              </w:rPr>
            </w:pPr>
            <w:r w:rsidRPr="00C76EA2">
              <w:rPr>
                <w:rFonts w:cstheme="minorHAnsi"/>
                <w:bCs/>
                <w:sz w:val="20"/>
                <w:szCs w:val="20"/>
              </w:rPr>
              <w:t>Justin Lower</w:t>
            </w:r>
          </w:p>
        </w:tc>
        <w:tc>
          <w:tcPr>
            <w:tcW w:w="1331" w:type="dxa"/>
          </w:tcPr>
          <w:p w14:paraId="3ACC4489" w14:textId="55501059" w:rsidR="00BB32BD" w:rsidRPr="00C76EA2" w:rsidRDefault="0097351B" w:rsidP="00F102ED">
            <w:pPr>
              <w:rPr>
                <w:rFonts w:cstheme="minorHAnsi"/>
                <w:bCs/>
                <w:sz w:val="20"/>
                <w:szCs w:val="20"/>
              </w:rPr>
            </w:pPr>
            <w:r w:rsidRPr="00C76EA2">
              <w:rPr>
                <w:rFonts w:cstheme="minorHAnsi"/>
                <w:bCs/>
                <w:sz w:val="20"/>
                <w:szCs w:val="20"/>
              </w:rPr>
              <w:t>178</w:t>
            </w:r>
          </w:p>
        </w:tc>
      </w:tr>
      <w:tr w:rsidR="00BB32BD" w:rsidRPr="00C76EA2" w14:paraId="23EE7FDD" w14:textId="77777777" w:rsidTr="00BB32BD">
        <w:tc>
          <w:tcPr>
            <w:tcW w:w="731" w:type="dxa"/>
          </w:tcPr>
          <w:p w14:paraId="1DF82217" w14:textId="3591280B" w:rsidR="00BB32BD" w:rsidRPr="00C76EA2" w:rsidRDefault="00197DB8" w:rsidP="00F102ED">
            <w:pPr>
              <w:rPr>
                <w:rFonts w:cstheme="minorHAnsi"/>
                <w:bCs/>
                <w:sz w:val="20"/>
                <w:szCs w:val="20"/>
              </w:rPr>
            </w:pPr>
            <w:r w:rsidRPr="00C76EA2">
              <w:rPr>
                <w:rFonts w:cstheme="minorHAnsi"/>
                <w:bCs/>
                <w:sz w:val="20"/>
                <w:szCs w:val="20"/>
              </w:rPr>
              <w:t>3</w:t>
            </w:r>
          </w:p>
        </w:tc>
        <w:tc>
          <w:tcPr>
            <w:tcW w:w="1634" w:type="dxa"/>
          </w:tcPr>
          <w:p w14:paraId="3EA2BB2B" w14:textId="6CDC1690" w:rsidR="00BB32BD" w:rsidRPr="00C76EA2" w:rsidRDefault="00197DB8" w:rsidP="00F102ED">
            <w:pPr>
              <w:rPr>
                <w:rFonts w:cstheme="minorHAnsi"/>
                <w:bCs/>
                <w:sz w:val="20"/>
                <w:szCs w:val="20"/>
              </w:rPr>
            </w:pPr>
            <w:r w:rsidRPr="00C76EA2">
              <w:rPr>
                <w:rFonts w:cstheme="minorHAnsi"/>
                <w:bCs/>
                <w:sz w:val="20"/>
                <w:szCs w:val="20"/>
              </w:rPr>
              <w:t>Alex Smalley</w:t>
            </w:r>
          </w:p>
        </w:tc>
        <w:tc>
          <w:tcPr>
            <w:tcW w:w="1331" w:type="dxa"/>
          </w:tcPr>
          <w:p w14:paraId="03F332BF" w14:textId="31D2D12F" w:rsidR="00BB32BD" w:rsidRPr="00C76EA2" w:rsidRDefault="0097351B" w:rsidP="00F102ED">
            <w:pPr>
              <w:rPr>
                <w:rFonts w:cstheme="minorHAnsi"/>
                <w:bCs/>
                <w:sz w:val="20"/>
                <w:szCs w:val="20"/>
              </w:rPr>
            </w:pPr>
            <w:r w:rsidRPr="00C76EA2">
              <w:rPr>
                <w:rFonts w:cstheme="minorHAnsi"/>
                <w:bCs/>
                <w:sz w:val="20"/>
                <w:szCs w:val="20"/>
              </w:rPr>
              <w:t>119</w:t>
            </w:r>
          </w:p>
        </w:tc>
      </w:tr>
      <w:tr w:rsidR="00197DB8" w:rsidRPr="00C76EA2" w14:paraId="46882368" w14:textId="77777777" w:rsidTr="00BB32BD">
        <w:tc>
          <w:tcPr>
            <w:tcW w:w="731" w:type="dxa"/>
          </w:tcPr>
          <w:p w14:paraId="31459525" w14:textId="5A45F959" w:rsidR="00197DB8" w:rsidRPr="00C76EA2" w:rsidRDefault="00197DB8" w:rsidP="00F102ED">
            <w:pPr>
              <w:rPr>
                <w:rFonts w:cstheme="minorHAnsi"/>
                <w:bCs/>
                <w:sz w:val="20"/>
                <w:szCs w:val="20"/>
              </w:rPr>
            </w:pPr>
            <w:r w:rsidRPr="00C76EA2">
              <w:rPr>
                <w:rFonts w:cstheme="minorHAnsi"/>
                <w:bCs/>
                <w:sz w:val="20"/>
                <w:szCs w:val="20"/>
              </w:rPr>
              <w:t>4</w:t>
            </w:r>
          </w:p>
        </w:tc>
        <w:tc>
          <w:tcPr>
            <w:tcW w:w="1634" w:type="dxa"/>
          </w:tcPr>
          <w:p w14:paraId="55778648" w14:textId="77824DFF" w:rsidR="00197DB8" w:rsidRPr="00C76EA2" w:rsidRDefault="00197DB8" w:rsidP="00F102ED">
            <w:pPr>
              <w:rPr>
                <w:rFonts w:cstheme="minorHAnsi"/>
                <w:bCs/>
                <w:sz w:val="20"/>
                <w:szCs w:val="20"/>
              </w:rPr>
            </w:pPr>
            <w:r w:rsidRPr="00C76EA2">
              <w:rPr>
                <w:rFonts w:cstheme="minorHAnsi"/>
                <w:bCs/>
                <w:sz w:val="20"/>
                <w:szCs w:val="20"/>
              </w:rPr>
              <w:t>Charley Hoffman</w:t>
            </w:r>
          </w:p>
        </w:tc>
        <w:tc>
          <w:tcPr>
            <w:tcW w:w="1331" w:type="dxa"/>
          </w:tcPr>
          <w:p w14:paraId="656749D3" w14:textId="5B151006" w:rsidR="00197DB8" w:rsidRPr="00C76EA2" w:rsidRDefault="0097351B" w:rsidP="00F102ED">
            <w:pPr>
              <w:rPr>
                <w:rFonts w:cstheme="minorHAnsi"/>
                <w:bCs/>
                <w:sz w:val="20"/>
                <w:szCs w:val="20"/>
              </w:rPr>
            </w:pPr>
            <w:r w:rsidRPr="00C76EA2">
              <w:rPr>
                <w:rFonts w:cstheme="minorHAnsi"/>
                <w:bCs/>
                <w:sz w:val="20"/>
                <w:szCs w:val="20"/>
              </w:rPr>
              <w:t>109.7</w:t>
            </w:r>
          </w:p>
        </w:tc>
      </w:tr>
      <w:tr w:rsidR="00197DB8" w:rsidRPr="00C76EA2" w14:paraId="6AEE7D33" w14:textId="77777777" w:rsidTr="00BB32BD">
        <w:tc>
          <w:tcPr>
            <w:tcW w:w="731" w:type="dxa"/>
          </w:tcPr>
          <w:p w14:paraId="45048526" w14:textId="497BB3DB" w:rsidR="00197DB8" w:rsidRPr="00C76EA2" w:rsidRDefault="00197DB8" w:rsidP="00F102ED">
            <w:pPr>
              <w:rPr>
                <w:rFonts w:cstheme="minorHAnsi"/>
                <w:bCs/>
                <w:sz w:val="20"/>
                <w:szCs w:val="20"/>
              </w:rPr>
            </w:pPr>
            <w:r w:rsidRPr="00C76EA2">
              <w:rPr>
                <w:rFonts w:cstheme="minorHAnsi"/>
                <w:bCs/>
                <w:sz w:val="20"/>
                <w:szCs w:val="20"/>
              </w:rPr>
              <w:t>5</w:t>
            </w:r>
          </w:p>
        </w:tc>
        <w:tc>
          <w:tcPr>
            <w:tcW w:w="1634" w:type="dxa"/>
          </w:tcPr>
          <w:p w14:paraId="5974D334" w14:textId="02343643" w:rsidR="00197DB8" w:rsidRPr="00C76EA2" w:rsidRDefault="00197DB8" w:rsidP="00F102ED">
            <w:pPr>
              <w:rPr>
                <w:rFonts w:cstheme="minorHAnsi"/>
                <w:bCs/>
                <w:sz w:val="20"/>
                <w:szCs w:val="20"/>
              </w:rPr>
            </w:pPr>
            <w:r w:rsidRPr="00C76EA2">
              <w:rPr>
                <w:rFonts w:cstheme="minorHAnsi"/>
                <w:bCs/>
                <w:sz w:val="20"/>
                <w:szCs w:val="20"/>
              </w:rPr>
              <w:t>Harry Hall</w:t>
            </w:r>
          </w:p>
        </w:tc>
        <w:tc>
          <w:tcPr>
            <w:tcW w:w="1331" w:type="dxa"/>
          </w:tcPr>
          <w:p w14:paraId="71D747E8" w14:textId="2A5CA7F6" w:rsidR="00197DB8" w:rsidRPr="00C76EA2" w:rsidRDefault="0097351B" w:rsidP="00F102ED">
            <w:pPr>
              <w:rPr>
                <w:rFonts w:cstheme="minorHAnsi"/>
                <w:bCs/>
                <w:sz w:val="20"/>
                <w:szCs w:val="20"/>
              </w:rPr>
            </w:pPr>
            <w:r w:rsidRPr="00C76EA2">
              <w:rPr>
                <w:rFonts w:cstheme="minorHAnsi"/>
                <w:bCs/>
                <w:sz w:val="20"/>
                <w:szCs w:val="20"/>
              </w:rPr>
              <w:t>100.292</w:t>
            </w:r>
          </w:p>
        </w:tc>
      </w:tr>
    </w:tbl>
    <w:p w14:paraId="593768F1" w14:textId="16CD42D5" w:rsidR="006C124F" w:rsidRPr="00C76EA2" w:rsidRDefault="006C124F" w:rsidP="00BB32BD">
      <w:pPr>
        <w:pStyle w:val="ListParagraph"/>
        <w:spacing w:line="240" w:lineRule="auto"/>
        <w:rPr>
          <w:rFonts w:cstheme="minorHAnsi"/>
          <w:sz w:val="20"/>
          <w:szCs w:val="20"/>
        </w:rPr>
      </w:pPr>
      <w:r w:rsidRPr="00C76EA2">
        <w:rPr>
          <w:rFonts w:cstheme="minorHAnsi"/>
          <w:sz w:val="20"/>
          <w:szCs w:val="20"/>
        </w:rPr>
        <w:tab/>
      </w:r>
    </w:p>
    <w:p w14:paraId="43E7F30D" w14:textId="486EAEDE" w:rsidR="00FE2BA2" w:rsidRPr="00C76EA2" w:rsidRDefault="00994048" w:rsidP="001F685D">
      <w:pPr>
        <w:pStyle w:val="ListParagraph"/>
        <w:numPr>
          <w:ilvl w:val="0"/>
          <w:numId w:val="12"/>
        </w:numPr>
        <w:spacing w:line="240" w:lineRule="auto"/>
        <w:rPr>
          <w:rFonts w:cstheme="minorHAnsi"/>
          <w:sz w:val="20"/>
          <w:szCs w:val="20"/>
        </w:rPr>
      </w:pPr>
      <w:r w:rsidRPr="00C76EA2">
        <w:rPr>
          <w:rFonts w:cstheme="minorHAnsi"/>
          <w:b/>
          <w:bCs/>
          <w:sz w:val="20"/>
          <w:szCs w:val="20"/>
        </w:rPr>
        <w:t>Stars out in San Diego</w:t>
      </w:r>
      <w:r w:rsidR="001F666F" w:rsidRPr="00C76EA2">
        <w:rPr>
          <w:rFonts w:cstheme="minorHAnsi"/>
          <w:b/>
          <w:bCs/>
          <w:sz w:val="20"/>
          <w:szCs w:val="20"/>
        </w:rPr>
        <w:t>:</w:t>
      </w:r>
      <w:r w:rsidR="001F666F" w:rsidRPr="00C76EA2">
        <w:rPr>
          <w:rFonts w:cstheme="minorHAnsi"/>
          <w:sz w:val="20"/>
          <w:szCs w:val="20"/>
        </w:rPr>
        <w:t xml:space="preserve"> </w:t>
      </w:r>
    </w:p>
    <w:p w14:paraId="382CF209" w14:textId="3CA3281A" w:rsidR="004C228A" w:rsidRPr="00C76EA2" w:rsidRDefault="004C228A" w:rsidP="005826FE">
      <w:pPr>
        <w:pStyle w:val="ListParagraph"/>
        <w:numPr>
          <w:ilvl w:val="1"/>
          <w:numId w:val="14"/>
        </w:numPr>
        <w:spacing w:line="240" w:lineRule="auto"/>
        <w:rPr>
          <w:rFonts w:cstheme="minorHAnsi"/>
          <w:b/>
          <w:bCs/>
          <w:sz w:val="20"/>
          <w:szCs w:val="20"/>
        </w:rPr>
      </w:pPr>
      <w:r w:rsidRPr="00C76EA2">
        <w:rPr>
          <w:rFonts w:cstheme="minorHAnsi"/>
          <w:b/>
          <w:bCs/>
          <w:sz w:val="20"/>
          <w:szCs w:val="20"/>
        </w:rPr>
        <w:t>Hideki Matsuyama</w:t>
      </w:r>
      <w:r w:rsidRPr="00C76EA2">
        <w:rPr>
          <w:rFonts w:cstheme="minorHAnsi"/>
          <w:sz w:val="20"/>
          <w:szCs w:val="20"/>
        </w:rPr>
        <w:t xml:space="preserve">, the highest-ranked player in the field at No. </w:t>
      </w:r>
      <w:r w:rsidR="00C93D39" w:rsidRPr="00C76EA2">
        <w:rPr>
          <w:rFonts w:cstheme="minorHAnsi"/>
          <w:sz w:val="20"/>
          <w:szCs w:val="20"/>
        </w:rPr>
        <w:t>4</w:t>
      </w:r>
      <w:r w:rsidRPr="00C76EA2">
        <w:rPr>
          <w:rFonts w:cstheme="minorHAnsi"/>
          <w:sz w:val="20"/>
          <w:szCs w:val="20"/>
        </w:rPr>
        <w:t xml:space="preserve"> in the Official World Golf Ranking, </w:t>
      </w:r>
      <w:r w:rsidR="00465A06" w:rsidRPr="00C76EA2">
        <w:rPr>
          <w:rFonts w:cstheme="minorHAnsi"/>
          <w:sz w:val="20"/>
          <w:szCs w:val="20"/>
        </w:rPr>
        <w:t>is making his third start of the season after winning the opening event at</w:t>
      </w:r>
      <w:r w:rsidR="00854A0B" w:rsidRPr="00C76EA2">
        <w:rPr>
          <w:rFonts w:cstheme="minorHAnsi"/>
          <w:sz w:val="20"/>
          <w:szCs w:val="20"/>
        </w:rPr>
        <w:t xml:space="preserve"> The Sentry </w:t>
      </w:r>
      <w:r w:rsidR="00465A06" w:rsidRPr="00C76EA2">
        <w:rPr>
          <w:rFonts w:cstheme="minorHAnsi"/>
          <w:sz w:val="20"/>
          <w:szCs w:val="20"/>
        </w:rPr>
        <w:t xml:space="preserve">for his </w:t>
      </w:r>
      <w:r w:rsidR="0073392A" w:rsidRPr="00C76EA2">
        <w:rPr>
          <w:rFonts w:cstheme="minorHAnsi"/>
          <w:sz w:val="20"/>
          <w:szCs w:val="20"/>
        </w:rPr>
        <w:t>11</w:t>
      </w:r>
      <w:r w:rsidR="0073392A" w:rsidRPr="00C76EA2">
        <w:rPr>
          <w:rFonts w:cstheme="minorHAnsi"/>
          <w:sz w:val="20"/>
          <w:szCs w:val="20"/>
          <w:vertAlign w:val="superscript"/>
        </w:rPr>
        <w:t>th</w:t>
      </w:r>
      <w:r w:rsidR="0073392A" w:rsidRPr="00C76EA2">
        <w:rPr>
          <w:rFonts w:cstheme="minorHAnsi"/>
          <w:sz w:val="20"/>
          <w:szCs w:val="20"/>
        </w:rPr>
        <w:t xml:space="preserve"> career PGA TOUR title. </w:t>
      </w:r>
      <w:r w:rsidR="00243399" w:rsidRPr="00C76EA2">
        <w:rPr>
          <w:rFonts w:cstheme="minorHAnsi"/>
          <w:sz w:val="20"/>
          <w:szCs w:val="20"/>
        </w:rPr>
        <w:t>Matsuyama is making his 1</w:t>
      </w:r>
      <w:r w:rsidR="003216E2" w:rsidRPr="00C76EA2">
        <w:rPr>
          <w:rFonts w:cstheme="minorHAnsi"/>
          <w:sz w:val="20"/>
          <w:szCs w:val="20"/>
        </w:rPr>
        <w:t>2</w:t>
      </w:r>
      <w:r w:rsidR="00243399" w:rsidRPr="00C76EA2">
        <w:rPr>
          <w:rFonts w:cstheme="minorHAnsi"/>
          <w:sz w:val="20"/>
          <w:szCs w:val="20"/>
          <w:vertAlign w:val="superscript"/>
        </w:rPr>
        <w:t>th</w:t>
      </w:r>
      <w:r w:rsidR="00243399" w:rsidRPr="00C76EA2">
        <w:rPr>
          <w:rFonts w:cstheme="minorHAnsi"/>
          <w:sz w:val="20"/>
          <w:szCs w:val="20"/>
        </w:rPr>
        <w:t xml:space="preserve"> consecutive appearance at the Farmers Insurance Open</w:t>
      </w:r>
      <w:r w:rsidR="00DD4A59" w:rsidRPr="00C76EA2">
        <w:rPr>
          <w:rFonts w:cstheme="minorHAnsi"/>
          <w:sz w:val="20"/>
          <w:szCs w:val="20"/>
        </w:rPr>
        <w:t xml:space="preserve"> </w:t>
      </w:r>
      <w:r w:rsidR="003216E2" w:rsidRPr="00C76EA2">
        <w:rPr>
          <w:rFonts w:cstheme="minorHAnsi"/>
          <w:sz w:val="20"/>
          <w:szCs w:val="20"/>
        </w:rPr>
        <w:t xml:space="preserve">where he has two career top-10 finishes (T3/2019, </w:t>
      </w:r>
      <w:r w:rsidR="00B572E5" w:rsidRPr="00C76EA2">
        <w:rPr>
          <w:rFonts w:cstheme="minorHAnsi"/>
          <w:sz w:val="20"/>
          <w:szCs w:val="20"/>
        </w:rPr>
        <w:t>T9/2023)</w:t>
      </w:r>
      <w:r w:rsidR="00157BFF" w:rsidRPr="00C76EA2">
        <w:rPr>
          <w:rFonts w:cstheme="minorHAnsi"/>
          <w:sz w:val="20"/>
          <w:szCs w:val="20"/>
        </w:rPr>
        <w:t>.</w:t>
      </w:r>
    </w:p>
    <w:p w14:paraId="3A3CEF05" w14:textId="479EBADB" w:rsidR="001D483B" w:rsidRPr="00C76EA2" w:rsidRDefault="008D766F" w:rsidP="004C228A">
      <w:pPr>
        <w:pStyle w:val="ListParagraph"/>
        <w:numPr>
          <w:ilvl w:val="1"/>
          <w:numId w:val="14"/>
        </w:numPr>
        <w:spacing w:line="240" w:lineRule="auto"/>
        <w:rPr>
          <w:rFonts w:cstheme="minorHAnsi"/>
          <w:b/>
          <w:bCs/>
          <w:sz w:val="20"/>
          <w:szCs w:val="20"/>
        </w:rPr>
      </w:pPr>
      <w:r w:rsidRPr="00C76EA2">
        <w:rPr>
          <w:rFonts w:cstheme="minorHAnsi"/>
          <w:sz w:val="20"/>
          <w:szCs w:val="20"/>
        </w:rPr>
        <w:t xml:space="preserve">World No. 6 </w:t>
      </w:r>
      <w:r w:rsidR="00DA74D7" w:rsidRPr="00C76EA2">
        <w:rPr>
          <w:rFonts w:cstheme="minorHAnsi"/>
          <w:b/>
          <w:bCs/>
          <w:sz w:val="20"/>
          <w:szCs w:val="20"/>
        </w:rPr>
        <w:t xml:space="preserve">Ludvig </w:t>
      </w:r>
      <w:proofErr w:type="spellStart"/>
      <w:r w:rsidR="00DA74D7" w:rsidRPr="00C76EA2">
        <w:rPr>
          <w:rFonts w:cstheme="minorHAnsi"/>
          <w:b/>
          <w:bCs/>
          <w:sz w:val="20"/>
          <w:szCs w:val="20"/>
        </w:rPr>
        <w:t>Åberg</w:t>
      </w:r>
      <w:proofErr w:type="spellEnd"/>
      <w:r w:rsidR="00854A0B" w:rsidRPr="00C76EA2">
        <w:rPr>
          <w:rFonts w:cstheme="minorHAnsi"/>
          <w:sz w:val="20"/>
          <w:szCs w:val="20"/>
        </w:rPr>
        <w:t xml:space="preserve"> </w:t>
      </w:r>
      <w:r w:rsidR="0009324F" w:rsidRPr="00C76EA2">
        <w:rPr>
          <w:rFonts w:cstheme="minorHAnsi"/>
          <w:sz w:val="20"/>
          <w:szCs w:val="20"/>
        </w:rPr>
        <w:t xml:space="preserve">returns to San Diego for his </w:t>
      </w:r>
      <w:r w:rsidR="000A08FA" w:rsidRPr="00C76EA2">
        <w:rPr>
          <w:rFonts w:cstheme="minorHAnsi"/>
          <w:sz w:val="20"/>
          <w:szCs w:val="20"/>
        </w:rPr>
        <w:t xml:space="preserve">second appearance </w:t>
      </w:r>
      <w:r w:rsidRPr="00C76EA2">
        <w:rPr>
          <w:rFonts w:cstheme="minorHAnsi"/>
          <w:sz w:val="20"/>
          <w:szCs w:val="20"/>
        </w:rPr>
        <w:t xml:space="preserve">following a T9 in 2024, one of </w:t>
      </w:r>
      <w:r w:rsidR="00C9043D" w:rsidRPr="00C76EA2">
        <w:rPr>
          <w:rFonts w:cstheme="minorHAnsi"/>
          <w:sz w:val="20"/>
          <w:szCs w:val="20"/>
        </w:rPr>
        <w:t>eight</w:t>
      </w:r>
      <w:r w:rsidRPr="00C76EA2">
        <w:rPr>
          <w:rFonts w:cstheme="minorHAnsi"/>
          <w:sz w:val="20"/>
          <w:szCs w:val="20"/>
        </w:rPr>
        <w:t xml:space="preserve"> top-10 finishes </w:t>
      </w:r>
      <w:r w:rsidR="00C004A2" w:rsidRPr="00C76EA2">
        <w:rPr>
          <w:rFonts w:cstheme="minorHAnsi"/>
          <w:sz w:val="20"/>
          <w:szCs w:val="20"/>
        </w:rPr>
        <w:t>on the season</w:t>
      </w:r>
      <w:r w:rsidR="00952074" w:rsidRPr="00C76EA2">
        <w:rPr>
          <w:rFonts w:cstheme="minorHAnsi"/>
          <w:sz w:val="20"/>
          <w:szCs w:val="20"/>
        </w:rPr>
        <w:t xml:space="preserve">. </w:t>
      </w:r>
      <w:proofErr w:type="spellStart"/>
      <w:r w:rsidR="00FF1E91" w:rsidRPr="00C76EA2">
        <w:rPr>
          <w:rFonts w:cstheme="minorHAnsi"/>
          <w:sz w:val="20"/>
          <w:szCs w:val="20"/>
        </w:rPr>
        <w:t>Åberg</w:t>
      </w:r>
      <w:proofErr w:type="spellEnd"/>
      <w:r w:rsidR="00FF1E91" w:rsidRPr="00C76EA2">
        <w:rPr>
          <w:rFonts w:cstheme="minorHAnsi"/>
          <w:sz w:val="20"/>
          <w:szCs w:val="20"/>
        </w:rPr>
        <w:t xml:space="preserve"> </w:t>
      </w:r>
      <w:r w:rsidR="00952074" w:rsidRPr="00C76EA2">
        <w:rPr>
          <w:rFonts w:cstheme="minorHAnsi"/>
          <w:sz w:val="20"/>
          <w:szCs w:val="20"/>
        </w:rPr>
        <w:t xml:space="preserve">is making </w:t>
      </w:r>
      <w:r w:rsidR="00F04DCB" w:rsidRPr="00C76EA2">
        <w:rPr>
          <w:rFonts w:cstheme="minorHAnsi"/>
          <w:sz w:val="20"/>
          <w:szCs w:val="20"/>
        </w:rPr>
        <w:t>his second</w:t>
      </w:r>
      <w:r w:rsidR="00952074" w:rsidRPr="00C76EA2">
        <w:rPr>
          <w:rFonts w:cstheme="minorHAnsi"/>
          <w:sz w:val="20"/>
          <w:szCs w:val="20"/>
        </w:rPr>
        <w:t xml:space="preserve"> </w:t>
      </w:r>
      <w:r w:rsidR="00F04DCB" w:rsidRPr="00C76EA2">
        <w:rPr>
          <w:rFonts w:cstheme="minorHAnsi"/>
          <w:sz w:val="20"/>
          <w:szCs w:val="20"/>
        </w:rPr>
        <w:t>following</w:t>
      </w:r>
      <w:r w:rsidR="00952074" w:rsidRPr="00C76EA2">
        <w:rPr>
          <w:rFonts w:cstheme="minorHAnsi"/>
          <w:sz w:val="20"/>
          <w:szCs w:val="20"/>
        </w:rPr>
        <w:t xml:space="preserve"> a</w:t>
      </w:r>
      <w:r w:rsidR="00854A0B" w:rsidRPr="00C76EA2">
        <w:rPr>
          <w:rFonts w:cstheme="minorHAnsi"/>
          <w:sz w:val="20"/>
          <w:szCs w:val="20"/>
        </w:rPr>
        <w:t xml:space="preserve"> T5 </w:t>
      </w:r>
      <w:r w:rsidR="00952074" w:rsidRPr="00C76EA2">
        <w:rPr>
          <w:rFonts w:cstheme="minorHAnsi"/>
          <w:sz w:val="20"/>
          <w:szCs w:val="20"/>
        </w:rPr>
        <w:t xml:space="preserve">finish </w:t>
      </w:r>
      <w:r w:rsidR="00854A0B" w:rsidRPr="00C76EA2">
        <w:rPr>
          <w:rFonts w:cstheme="minorHAnsi"/>
          <w:sz w:val="20"/>
          <w:szCs w:val="20"/>
        </w:rPr>
        <w:t>at The Sentry</w:t>
      </w:r>
      <w:r w:rsidR="00952074" w:rsidRPr="00C76EA2">
        <w:rPr>
          <w:rFonts w:cstheme="minorHAnsi"/>
          <w:sz w:val="20"/>
          <w:szCs w:val="20"/>
        </w:rPr>
        <w:t>.</w:t>
      </w:r>
    </w:p>
    <w:p w14:paraId="2B446D73" w14:textId="2818FBD8" w:rsidR="00BF5776" w:rsidRPr="00C76EA2" w:rsidRDefault="00BF5776" w:rsidP="00FE2BA2">
      <w:pPr>
        <w:pStyle w:val="ListParagraph"/>
        <w:numPr>
          <w:ilvl w:val="1"/>
          <w:numId w:val="14"/>
        </w:numPr>
        <w:spacing w:line="240" w:lineRule="auto"/>
        <w:rPr>
          <w:rFonts w:cstheme="minorHAnsi"/>
          <w:sz w:val="20"/>
          <w:szCs w:val="20"/>
        </w:rPr>
      </w:pPr>
      <w:r w:rsidRPr="00C76EA2">
        <w:rPr>
          <w:rFonts w:cstheme="minorHAnsi"/>
          <w:b/>
          <w:sz w:val="20"/>
          <w:szCs w:val="20"/>
        </w:rPr>
        <w:t xml:space="preserve">Max Homa </w:t>
      </w:r>
      <w:r w:rsidR="008F38B6" w:rsidRPr="00C76EA2">
        <w:rPr>
          <w:rFonts w:cstheme="minorHAnsi"/>
          <w:bCs/>
          <w:sz w:val="20"/>
          <w:szCs w:val="20"/>
        </w:rPr>
        <w:t xml:space="preserve">is set for his </w:t>
      </w:r>
      <w:r w:rsidR="003707CF" w:rsidRPr="00C76EA2">
        <w:rPr>
          <w:rFonts w:cstheme="minorHAnsi"/>
          <w:bCs/>
          <w:sz w:val="20"/>
          <w:szCs w:val="20"/>
        </w:rPr>
        <w:t>ninth appearance at Torrey Pines, with the most recent of his six TOUR titles coming at the 202</w:t>
      </w:r>
      <w:r w:rsidR="009974FF" w:rsidRPr="00C76EA2">
        <w:rPr>
          <w:rFonts w:cstheme="minorHAnsi"/>
          <w:bCs/>
          <w:sz w:val="20"/>
          <w:szCs w:val="20"/>
        </w:rPr>
        <w:t>3</w:t>
      </w:r>
      <w:r w:rsidR="003707CF" w:rsidRPr="00C76EA2">
        <w:rPr>
          <w:rFonts w:cstheme="minorHAnsi"/>
          <w:bCs/>
          <w:sz w:val="20"/>
          <w:szCs w:val="20"/>
        </w:rPr>
        <w:t xml:space="preserve"> Farmers Insurance Open. Homa is in search of his first top-10 on TOUR since the 2024 Truist Championship in May.</w:t>
      </w:r>
    </w:p>
    <w:p w14:paraId="5A4DF312" w14:textId="2F732BCA" w:rsidR="007D431B" w:rsidRPr="00C76EA2" w:rsidRDefault="00D05D61" w:rsidP="00376598">
      <w:pPr>
        <w:pStyle w:val="ListParagraph"/>
        <w:numPr>
          <w:ilvl w:val="0"/>
          <w:numId w:val="12"/>
        </w:numPr>
        <w:spacing w:line="240" w:lineRule="auto"/>
        <w:rPr>
          <w:rFonts w:cstheme="minorHAnsi"/>
          <w:sz w:val="20"/>
          <w:szCs w:val="20"/>
        </w:rPr>
      </w:pPr>
      <w:r w:rsidRPr="00C76EA2">
        <w:rPr>
          <w:rFonts w:cstheme="minorHAnsi"/>
          <w:b/>
          <w:bCs/>
          <w:sz w:val="20"/>
          <w:szCs w:val="20"/>
        </w:rPr>
        <w:t>Rise of Pavon</w:t>
      </w:r>
      <w:r w:rsidR="00BD6D5E" w:rsidRPr="00C76EA2">
        <w:rPr>
          <w:rFonts w:cstheme="minorHAnsi"/>
          <w:b/>
          <w:bCs/>
          <w:sz w:val="20"/>
          <w:szCs w:val="20"/>
        </w:rPr>
        <w:t xml:space="preserve">: </w:t>
      </w:r>
      <w:r w:rsidR="00376598" w:rsidRPr="00C76EA2">
        <w:rPr>
          <w:rFonts w:cstheme="minorHAnsi"/>
          <w:bCs/>
          <w:sz w:val="20"/>
          <w:szCs w:val="20"/>
        </w:rPr>
        <w:t xml:space="preserve">France’s Matthieu Pavon entered the 2024 Farmers Insurance Open </w:t>
      </w:r>
      <w:r w:rsidR="00007088" w:rsidRPr="00C76EA2">
        <w:rPr>
          <w:rFonts w:cstheme="minorHAnsi"/>
          <w:bCs/>
          <w:sz w:val="20"/>
          <w:szCs w:val="20"/>
        </w:rPr>
        <w:t xml:space="preserve">as a PGA TOUR rookie making his third start as a member. </w:t>
      </w:r>
      <w:r w:rsidR="00CF0D70" w:rsidRPr="00C76EA2">
        <w:rPr>
          <w:rFonts w:cstheme="minorHAnsi"/>
          <w:bCs/>
          <w:sz w:val="20"/>
          <w:szCs w:val="20"/>
        </w:rPr>
        <w:t xml:space="preserve">Pavon had earned his card via the </w:t>
      </w:r>
      <w:r w:rsidR="00F04DCB" w:rsidRPr="00C76EA2">
        <w:rPr>
          <w:rFonts w:cstheme="minorHAnsi"/>
          <w:bCs/>
          <w:sz w:val="20"/>
          <w:szCs w:val="20"/>
        </w:rPr>
        <w:t xml:space="preserve">inaugural </w:t>
      </w:r>
      <w:r w:rsidR="00CF0D70" w:rsidRPr="00C76EA2">
        <w:rPr>
          <w:rFonts w:cstheme="minorHAnsi"/>
          <w:bCs/>
          <w:sz w:val="20"/>
          <w:szCs w:val="20"/>
        </w:rPr>
        <w:t xml:space="preserve">DP World Tour Top 10 </w:t>
      </w:r>
      <w:r w:rsidR="00F04DCB" w:rsidRPr="00C76EA2">
        <w:rPr>
          <w:rFonts w:cstheme="minorHAnsi"/>
          <w:bCs/>
          <w:sz w:val="20"/>
          <w:szCs w:val="20"/>
        </w:rPr>
        <w:t xml:space="preserve">in 2023 </w:t>
      </w:r>
      <w:r w:rsidR="00CF0D70" w:rsidRPr="00C76EA2">
        <w:rPr>
          <w:rFonts w:cstheme="minorHAnsi"/>
          <w:bCs/>
          <w:sz w:val="20"/>
          <w:szCs w:val="20"/>
        </w:rPr>
        <w:t xml:space="preserve">after birdies on his final four holes at the DP World Tour Championship secured his position on the PGA TOUR. </w:t>
      </w:r>
      <w:r w:rsidR="00F23D3E" w:rsidRPr="00C76EA2">
        <w:rPr>
          <w:rFonts w:cstheme="minorHAnsi"/>
          <w:bCs/>
          <w:sz w:val="20"/>
          <w:szCs w:val="20"/>
        </w:rPr>
        <w:t>His win at Torrey Pines – with a birdie on the 72</w:t>
      </w:r>
      <w:r w:rsidR="00F23D3E" w:rsidRPr="00C76EA2">
        <w:rPr>
          <w:rFonts w:cstheme="minorHAnsi"/>
          <w:bCs/>
          <w:sz w:val="20"/>
          <w:szCs w:val="20"/>
          <w:vertAlign w:val="superscript"/>
        </w:rPr>
        <w:t>nd</w:t>
      </w:r>
      <w:r w:rsidR="00F23D3E" w:rsidRPr="00C76EA2">
        <w:rPr>
          <w:rFonts w:cstheme="minorHAnsi"/>
          <w:bCs/>
          <w:sz w:val="20"/>
          <w:szCs w:val="20"/>
        </w:rPr>
        <w:t xml:space="preserve"> hole to win by one stroke </w:t>
      </w:r>
      <w:r w:rsidR="000C6303" w:rsidRPr="00C76EA2">
        <w:rPr>
          <w:rFonts w:cstheme="minorHAnsi"/>
          <w:bCs/>
          <w:sz w:val="20"/>
          <w:szCs w:val="20"/>
        </w:rPr>
        <w:t>–</w:t>
      </w:r>
      <w:r w:rsidR="00F23D3E" w:rsidRPr="00C76EA2">
        <w:rPr>
          <w:rFonts w:cstheme="minorHAnsi"/>
          <w:bCs/>
          <w:sz w:val="20"/>
          <w:szCs w:val="20"/>
        </w:rPr>
        <w:t xml:space="preserve"> </w:t>
      </w:r>
      <w:r w:rsidR="008E5703" w:rsidRPr="00C76EA2">
        <w:rPr>
          <w:rFonts w:cstheme="minorHAnsi"/>
          <w:bCs/>
          <w:sz w:val="20"/>
          <w:szCs w:val="20"/>
        </w:rPr>
        <w:t>propelled him to a season marked by two additional top-five finishes (3</w:t>
      </w:r>
      <w:r w:rsidR="008E5703" w:rsidRPr="00C76EA2">
        <w:rPr>
          <w:rFonts w:cstheme="minorHAnsi"/>
          <w:bCs/>
          <w:sz w:val="20"/>
          <w:szCs w:val="20"/>
          <w:vertAlign w:val="superscript"/>
        </w:rPr>
        <w:t>rd</w:t>
      </w:r>
      <w:r w:rsidR="008E5703" w:rsidRPr="00C76EA2">
        <w:rPr>
          <w:rFonts w:cstheme="minorHAnsi"/>
          <w:bCs/>
          <w:sz w:val="20"/>
          <w:szCs w:val="20"/>
        </w:rPr>
        <w:t>/AT&amp;T Pebble Beach Pro-Am, 5</w:t>
      </w:r>
      <w:r w:rsidR="008E5703" w:rsidRPr="00C76EA2">
        <w:rPr>
          <w:rFonts w:cstheme="minorHAnsi"/>
          <w:bCs/>
          <w:sz w:val="20"/>
          <w:szCs w:val="20"/>
          <w:vertAlign w:val="superscript"/>
        </w:rPr>
        <w:t>th</w:t>
      </w:r>
      <w:r w:rsidR="008E5703" w:rsidRPr="00C76EA2">
        <w:rPr>
          <w:rFonts w:cstheme="minorHAnsi"/>
          <w:bCs/>
          <w:sz w:val="20"/>
          <w:szCs w:val="20"/>
        </w:rPr>
        <w:t xml:space="preserve">/U.S. Open) </w:t>
      </w:r>
      <w:r w:rsidR="0014545A" w:rsidRPr="00C76EA2">
        <w:rPr>
          <w:rFonts w:cstheme="minorHAnsi"/>
          <w:bCs/>
          <w:sz w:val="20"/>
          <w:szCs w:val="20"/>
        </w:rPr>
        <w:t xml:space="preserve">and being named a nominee for the Arnold Palmer Award as PGA TOUR Rookie of the Year (won by Nick Dunlap). Pavon was the only rookie to qualify for the season-ending TOUR Championship, where he finished </w:t>
      </w:r>
      <w:r w:rsidR="000A02A2" w:rsidRPr="00C76EA2">
        <w:rPr>
          <w:rFonts w:cstheme="minorHAnsi"/>
          <w:bCs/>
          <w:sz w:val="20"/>
          <w:szCs w:val="20"/>
        </w:rPr>
        <w:t>T17.</w:t>
      </w:r>
      <w:r w:rsidR="00044606" w:rsidRPr="00C76EA2">
        <w:rPr>
          <w:rFonts w:cstheme="minorHAnsi"/>
          <w:bCs/>
          <w:sz w:val="20"/>
          <w:szCs w:val="20"/>
        </w:rPr>
        <w:t xml:space="preserve"> </w:t>
      </w:r>
      <w:r w:rsidR="000C6303" w:rsidRPr="00C76EA2">
        <w:rPr>
          <w:rFonts w:cstheme="minorHAnsi"/>
          <w:bCs/>
          <w:sz w:val="20"/>
          <w:szCs w:val="20"/>
        </w:rPr>
        <w:t xml:space="preserve"> </w:t>
      </w:r>
      <w:r w:rsidR="00007088" w:rsidRPr="00C76EA2">
        <w:rPr>
          <w:rFonts w:cstheme="minorHAnsi"/>
          <w:bCs/>
          <w:sz w:val="20"/>
          <w:szCs w:val="20"/>
        </w:rPr>
        <w:t xml:space="preserve"> </w:t>
      </w:r>
    </w:p>
    <w:p w14:paraId="75B2E77C" w14:textId="4160897B" w:rsidR="00BD726A" w:rsidRPr="00C76EA2" w:rsidRDefault="00A365FF" w:rsidP="00E54104">
      <w:pPr>
        <w:pStyle w:val="ListParagraph"/>
        <w:numPr>
          <w:ilvl w:val="0"/>
          <w:numId w:val="12"/>
        </w:numPr>
        <w:spacing w:line="240" w:lineRule="auto"/>
        <w:rPr>
          <w:rFonts w:cstheme="minorHAnsi"/>
          <w:sz w:val="20"/>
          <w:szCs w:val="20"/>
        </w:rPr>
      </w:pPr>
      <w:r w:rsidRPr="00C76EA2">
        <w:rPr>
          <w:rFonts w:cstheme="minorHAnsi"/>
          <w:b/>
          <w:bCs/>
          <w:sz w:val="20"/>
          <w:szCs w:val="20"/>
        </w:rPr>
        <w:t>APGA Farmers Insurance Invitational</w:t>
      </w:r>
      <w:r w:rsidR="00BE5A67" w:rsidRPr="00C76EA2">
        <w:rPr>
          <w:rFonts w:cstheme="minorHAnsi"/>
          <w:b/>
          <w:bCs/>
          <w:sz w:val="20"/>
          <w:szCs w:val="20"/>
        </w:rPr>
        <w:t xml:space="preserve">: </w:t>
      </w:r>
      <w:r w:rsidR="00DA27B3" w:rsidRPr="00C76EA2">
        <w:rPr>
          <w:rFonts w:cstheme="minorHAnsi"/>
          <w:sz w:val="20"/>
          <w:szCs w:val="20"/>
        </w:rPr>
        <w:t>Farmers will once again hos</w:t>
      </w:r>
      <w:r w:rsidR="00873904" w:rsidRPr="00C76EA2">
        <w:rPr>
          <w:rFonts w:cstheme="minorHAnsi"/>
          <w:sz w:val="20"/>
          <w:szCs w:val="20"/>
        </w:rPr>
        <w:t>t</w:t>
      </w:r>
      <w:r w:rsidR="00DA27B3" w:rsidRPr="00C76EA2">
        <w:rPr>
          <w:rFonts w:cstheme="minorHAnsi"/>
          <w:sz w:val="20"/>
          <w:szCs w:val="20"/>
        </w:rPr>
        <w:t xml:space="preserve"> the APGA Tour during the Farmers Insurance Open with the </w:t>
      </w:r>
      <w:r w:rsidR="001A4A60" w:rsidRPr="00C76EA2">
        <w:rPr>
          <w:rFonts w:cstheme="minorHAnsi"/>
          <w:sz w:val="20"/>
          <w:szCs w:val="20"/>
        </w:rPr>
        <w:t>six</w:t>
      </w:r>
      <w:r w:rsidR="00DA27B3" w:rsidRPr="00C76EA2">
        <w:rPr>
          <w:rFonts w:cstheme="minorHAnsi"/>
          <w:sz w:val="20"/>
          <w:szCs w:val="20"/>
        </w:rPr>
        <w:t>th playing of the APGA Farmers Insurance Invitational</w:t>
      </w:r>
      <w:r w:rsidR="003C4D8B" w:rsidRPr="00C76EA2">
        <w:rPr>
          <w:rFonts w:cstheme="minorHAnsi"/>
          <w:sz w:val="20"/>
          <w:szCs w:val="20"/>
        </w:rPr>
        <w:t xml:space="preserve"> at Torrey Pines. The first round will be held on Saturday at the North Course, while Sunday’s final round will take place on the South Course and be broadcast </w:t>
      </w:r>
      <w:r w:rsidR="0014020A" w:rsidRPr="00C76EA2">
        <w:rPr>
          <w:rFonts w:cstheme="minorHAnsi"/>
          <w:sz w:val="20"/>
          <w:szCs w:val="20"/>
        </w:rPr>
        <w:t xml:space="preserve">live on the Golf Channel from </w:t>
      </w:r>
      <w:r w:rsidR="00F915B2" w:rsidRPr="00C76EA2">
        <w:rPr>
          <w:rFonts w:cstheme="minorHAnsi"/>
          <w:sz w:val="20"/>
          <w:szCs w:val="20"/>
        </w:rPr>
        <w:t>1:30</w:t>
      </w:r>
      <w:r w:rsidR="0014020A" w:rsidRPr="00C76EA2">
        <w:rPr>
          <w:rFonts w:cstheme="minorHAnsi"/>
          <w:sz w:val="20"/>
          <w:szCs w:val="20"/>
        </w:rPr>
        <w:t>-4 p.m. PT.</w:t>
      </w:r>
    </w:p>
    <w:p w14:paraId="33D60547" w14:textId="459D0E5B" w:rsidR="00A16565" w:rsidRPr="00C76EA2" w:rsidRDefault="0098136F" w:rsidP="00384C43">
      <w:pPr>
        <w:pStyle w:val="ListParagraph"/>
        <w:numPr>
          <w:ilvl w:val="1"/>
          <w:numId w:val="15"/>
        </w:numPr>
        <w:spacing w:line="240" w:lineRule="auto"/>
        <w:rPr>
          <w:rFonts w:cstheme="minorHAnsi"/>
          <w:sz w:val="20"/>
          <w:szCs w:val="20"/>
        </w:rPr>
      </w:pPr>
      <w:r w:rsidRPr="00C76EA2">
        <w:rPr>
          <w:rFonts w:cstheme="minorHAnsi"/>
          <w:sz w:val="20"/>
          <w:szCs w:val="20"/>
        </w:rPr>
        <w:t xml:space="preserve">The Farmers Insurance Open supports the APGA Tour with a sponsor exemption going to one of the APGA’s top players. This year’s exemption was presented to </w:t>
      </w:r>
      <w:r w:rsidR="001A4A60" w:rsidRPr="00C76EA2">
        <w:rPr>
          <w:rFonts w:cstheme="minorHAnsi"/>
          <w:sz w:val="20"/>
          <w:szCs w:val="20"/>
        </w:rPr>
        <w:t>Willie Mack III</w:t>
      </w:r>
      <w:r w:rsidRPr="00C76EA2">
        <w:rPr>
          <w:rFonts w:cstheme="minorHAnsi"/>
          <w:sz w:val="20"/>
          <w:szCs w:val="20"/>
        </w:rPr>
        <w:t xml:space="preserve">, </w:t>
      </w:r>
      <w:r w:rsidR="001F4D54" w:rsidRPr="00C76EA2">
        <w:rPr>
          <w:rFonts w:cstheme="minorHAnsi"/>
          <w:sz w:val="20"/>
          <w:szCs w:val="20"/>
        </w:rPr>
        <w:t>who will make his</w:t>
      </w:r>
      <w:r w:rsidR="00F41B6B" w:rsidRPr="00C76EA2">
        <w:rPr>
          <w:rFonts w:cstheme="minorHAnsi"/>
          <w:sz w:val="20"/>
          <w:szCs w:val="20"/>
        </w:rPr>
        <w:t xml:space="preserve"> 10</w:t>
      </w:r>
      <w:r w:rsidR="00F41B6B" w:rsidRPr="00C76EA2">
        <w:rPr>
          <w:rFonts w:cstheme="minorHAnsi"/>
          <w:sz w:val="20"/>
          <w:szCs w:val="20"/>
          <w:vertAlign w:val="superscript"/>
        </w:rPr>
        <w:t>th</w:t>
      </w:r>
      <w:r w:rsidR="00F41B6B" w:rsidRPr="00C76EA2">
        <w:rPr>
          <w:rFonts w:cstheme="minorHAnsi"/>
          <w:sz w:val="20"/>
          <w:szCs w:val="20"/>
        </w:rPr>
        <w:t xml:space="preserve"> start on the PGA TOUR and</w:t>
      </w:r>
      <w:r w:rsidR="001F4D54" w:rsidRPr="00C76EA2">
        <w:rPr>
          <w:rFonts w:cstheme="minorHAnsi"/>
          <w:sz w:val="20"/>
          <w:szCs w:val="20"/>
        </w:rPr>
        <w:t xml:space="preserve"> second appearance </w:t>
      </w:r>
      <w:r w:rsidR="00F41B6B" w:rsidRPr="00C76EA2">
        <w:rPr>
          <w:rFonts w:cstheme="minorHAnsi"/>
          <w:sz w:val="20"/>
          <w:szCs w:val="20"/>
        </w:rPr>
        <w:t xml:space="preserve">at the Farmers Insurance Open </w:t>
      </w:r>
      <w:r w:rsidR="001F4D54" w:rsidRPr="00C76EA2">
        <w:rPr>
          <w:rFonts w:cstheme="minorHAnsi"/>
          <w:sz w:val="20"/>
          <w:szCs w:val="20"/>
        </w:rPr>
        <w:t>(2021)</w:t>
      </w:r>
      <w:r w:rsidR="009E31C9" w:rsidRPr="00C76EA2">
        <w:rPr>
          <w:rFonts w:cstheme="minorHAnsi"/>
          <w:sz w:val="20"/>
          <w:szCs w:val="20"/>
        </w:rPr>
        <w:t xml:space="preserve">. Mack </w:t>
      </w:r>
      <w:r w:rsidR="00005C48" w:rsidRPr="00C76EA2">
        <w:rPr>
          <w:rFonts w:cstheme="minorHAnsi"/>
          <w:sz w:val="20"/>
          <w:szCs w:val="20"/>
        </w:rPr>
        <w:t xml:space="preserve">became one of the first APGA </w:t>
      </w:r>
      <w:r w:rsidR="009E31C9" w:rsidRPr="00C76EA2">
        <w:rPr>
          <w:rFonts w:cstheme="minorHAnsi"/>
          <w:sz w:val="20"/>
          <w:szCs w:val="20"/>
        </w:rPr>
        <w:t>Tour players to compete in the U.S. Open</w:t>
      </w:r>
      <w:r w:rsidR="00954AEB" w:rsidRPr="00C76EA2">
        <w:rPr>
          <w:rFonts w:cstheme="minorHAnsi"/>
          <w:sz w:val="20"/>
          <w:szCs w:val="20"/>
        </w:rPr>
        <w:t xml:space="preserve"> in 2024</w:t>
      </w:r>
      <w:r w:rsidR="00AC23E3" w:rsidRPr="00C76EA2">
        <w:rPr>
          <w:rFonts w:cstheme="minorHAnsi"/>
          <w:sz w:val="20"/>
          <w:szCs w:val="20"/>
        </w:rPr>
        <w:t xml:space="preserve">, earning his spot by way of a three-man playoff at U.S. Open </w:t>
      </w:r>
      <w:r w:rsidR="003407DD" w:rsidRPr="00C76EA2">
        <w:rPr>
          <w:rFonts w:cstheme="minorHAnsi"/>
          <w:sz w:val="20"/>
          <w:szCs w:val="20"/>
        </w:rPr>
        <w:t>Final Qualifying.</w:t>
      </w:r>
    </w:p>
    <w:p w14:paraId="3B9DE57A" w14:textId="07367D59" w:rsidR="00C76EA2" w:rsidRPr="00C76EA2" w:rsidRDefault="0098136F" w:rsidP="00C76EA2">
      <w:pPr>
        <w:pStyle w:val="ListParagraph"/>
        <w:numPr>
          <w:ilvl w:val="1"/>
          <w:numId w:val="15"/>
        </w:numPr>
        <w:spacing w:line="240" w:lineRule="auto"/>
        <w:rPr>
          <w:rFonts w:cstheme="minorHAnsi"/>
          <w:sz w:val="20"/>
          <w:szCs w:val="20"/>
        </w:rPr>
      </w:pPr>
      <w:r w:rsidRPr="00C76EA2">
        <w:rPr>
          <w:rFonts w:cstheme="minorHAnsi"/>
          <w:sz w:val="20"/>
          <w:szCs w:val="20"/>
        </w:rPr>
        <w:t xml:space="preserve">Since 2020, Farmers has also </w:t>
      </w:r>
      <w:r w:rsidR="00EA5817" w:rsidRPr="00C76EA2">
        <w:rPr>
          <w:rFonts w:cstheme="minorHAnsi"/>
          <w:sz w:val="20"/>
          <w:szCs w:val="20"/>
        </w:rPr>
        <w:t>provided financial support for select APGA Tour players</w:t>
      </w:r>
      <w:r w:rsidR="00FA41B2" w:rsidRPr="00C76EA2">
        <w:rPr>
          <w:rFonts w:cstheme="minorHAnsi"/>
          <w:sz w:val="20"/>
          <w:szCs w:val="20"/>
        </w:rPr>
        <w:t>. In 202</w:t>
      </w:r>
      <w:r w:rsidR="001974C7" w:rsidRPr="00C76EA2">
        <w:rPr>
          <w:rFonts w:cstheme="minorHAnsi"/>
          <w:sz w:val="20"/>
          <w:szCs w:val="20"/>
        </w:rPr>
        <w:t>5</w:t>
      </w:r>
      <w:r w:rsidR="00FA41B2" w:rsidRPr="00C76EA2">
        <w:rPr>
          <w:rFonts w:cstheme="minorHAnsi"/>
          <w:sz w:val="20"/>
          <w:szCs w:val="20"/>
        </w:rPr>
        <w:t>, Willie Mack III, Troy Taylor II</w:t>
      </w:r>
      <w:r w:rsidR="00FE311B" w:rsidRPr="00C76EA2">
        <w:rPr>
          <w:rFonts w:cstheme="minorHAnsi"/>
          <w:sz w:val="20"/>
          <w:szCs w:val="20"/>
        </w:rPr>
        <w:t xml:space="preserve"> and Gregory Odom, Jr.,</w:t>
      </w:r>
      <w:r w:rsidR="00FA41B2" w:rsidRPr="00C76EA2">
        <w:rPr>
          <w:rFonts w:cstheme="minorHAnsi"/>
          <w:sz w:val="20"/>
          <w:szCs w:val="20"/>
        </w:rPr>
        <w:t xml:space="preserve"> will serve as Farmers brand ambassadors</w:t>
      </w:r>
      <w:r w:rsidR="00FE311B" w:rsidRPr="00C76EA2">
        <w:rPr>
          <w:rFonts w:cstheme="minorHAnsi"/>
          <w:sz w:val="20"/>
          <w:szCs w:val="20"/>
        </w:rPr>
        <w:t xml:space="preserve">, with Taylor and Odom in the field for the APGA Farmers Insurance Invitational. </w:t>
      </w:r>
    </w:p>
    <w:p w14:paraId="5B6D0BC1" w14:textId="6BA01541" w:rsidR="00C76EA2" w:rsidRPr="00C76EA2" w:rsidRDefault="00C76EA2" w:rsidP="00C76EA2">
      <w:pPr>
        <w:pStyle w:val="ListParagraph"/>
        <w:numPr>
          <w:ilvl w:val="1"/>
          <w:numId w:val="12"/>
        </w:numPr>
        <w:spacing w:line="240" w:lineRule="auto"/>
        <w:rPr>
          <w:rFonts w:cstheme="minorHAnsi"/>
          <w:sz w:val="20"/>
          <w:szCs w:val="20"/>
        </w:rPr>
        <w:sectPr w:rsidR="00C76EA2" w:rsidRPr="00C76EA2" w:rsidSect="00590423">
          <w:type w:val="continuous"/>
          <w:pgSz w:w="12240" w:h="15840"/>
          <w:pgMar w:top="1440" w:right="1440" w:bottom="1440" w:left="1440" w:header="720" w:footer="720" w:gutter="0"/>
          <w:cols w:space="720"/>
          <w:docGrid w:linePitch="360"/>
        </w:sectPr>
      </w:pPr>
    </w:p>
    <w:p w14:paraId="4F0EC9B4" w14:textId="77777777" w:rsidR="00E20EC6" w:rsidRPr="00C76EA2" w:rsidRDefault="00E20EC6" w:rsidP="00AC755F">
      <w:pPr>
        <w:spacing w:line="240" w:lineRule="auto"/>
        <w:rPr>
          <w:rFonts w:cstheme="minorHAnsi"/>
          <w:sz w:val="20"/>
          <w:szCs w:val="20"/>
        </w:rPr>
      </w:pPr>
    </w:p>
    <w:sectPr w:rsidR="00E20EC6" w:rsidRPr="00C76EA2" w:rsidSect="00590423">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4263"/>
    <w:multiLevelType w:val="hybridMultilevel"/>
    <w:tmpl w:val="3EB0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090D"/>
    <w:multiLevelType w:val="hybridMultilevel"/>
    <w:tmpl w:val="F4E0B7AE"/>
    <w:lvl w:ilvl="0" w:tplc="04090001">
      <w:start w:val="1"/>
      <w:numFmt w:val="bullet"/>
      <w:lvlText w:val=""/>
      <w:lvlJc w:val="left"/>
      <w:pPr>
        <w:ind w:left="360" w:hanging="360"/>
      </w:pPr>
      <w:rPr>
        <w:rFonts w:ascii="Symbol" w:hAnsi="Symbol" w:hint="default"/>
      </w:rPr>
    </w:lvl>
    <w:lvl w:ilvl="1" w:tplc="0CFA2B6A">
      <w:numFmt w:val="bullet"/>
      <w:lvlText w:val="-"/>
      <w:lvlJc w:val="left"/>
      <w:pPr>
        <w:ind w:left="1080" w:hanging="360"/>
      </w:pPr>
      <w:rPr>
        <w:rFonts w:ascii="Calibri" w:hAnsi="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52DDC"/>
    <w:multiLevelType w:val="hybridMultilevel"/>
    <w:tmpl w:val="32EA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7C32"/>
    <w:multiLevelType w:val="hybridMultilevel"/>
    <w:tmpl w:val="428EB856"/>
    <w:lvl w:ilvl="0" w:tplc="0346D012">
      <w:start w:val="5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591F1C"/>
    <w:multiLevelType w:val="hybridMultilevel"/>
    <w:tmpl w:val="43A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94154"/>
    <w:multiLevelType w:val="hybridMultilevel"/>
    <w:tmpl w:val="068EBA4E"/>
    <w:lvl w:ilvl="0" w:tplc="FFFFFFFF">
      <w:start w:val="1"/>
      <w:numFmt w:val="decimal"/>
      <w:lvlText w:val="%1."/>
      <w:lvlJc w:val="left"/>
      <w:pPr>
        <w:ind w:left="720" w:hanging="360"/>
      </w:pPr>
      <w:rPr>
        <w:rFonts w:hint="default"/>
        <w:b w:val="0"/>
        <w:bCs w:val="0"/>
      </w:rPr>
    </w:lvl>
    <w:lvl w:ilvl="1" w:tplc="04090017">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034D75"/>
    <w:multiLevelType w:val="multilevel"/>
    <w:tmpl w:val="87B0D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814372"/>
    <w:multiLevelType w:val="hybridMultilevel"/>
    <w:tmpl w:val="76D2B242"/>
    <w:lvl w:ilvl="0" w:tplc="FFFFFFFF">
      <w:start w:val="1"/>
      <w:numFmt w:val="decimal"/>
      <w:lvlText w:val="%1."/>
      <w:lvlJc w:val="left"/>
      <w:pPr>
        <w:ind w:left="720" w:hanging="360"/>
      </w:pPr>
      <w:rPr>
        <w:rFonts w:hint="default"/>
        <w:b w:val="0"/>
        <w:bCs w:val="0"/>
      </w:rPr>
    </w:lvl>
    <w:lvl w:ilvl="1" w:tplc="04090013">
      <w:start w:val="1"/>
      <w:numFmt w:val="upperRoman"/>
      <w:lvlText w:val="%2."/>
      <w:lvlJc w:val="righ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5360C1"/>
    <w:multiLevelType w:val="hybridMultilevel"/>
    <w:tmpl w:val="52669B08"/>
    <w:lvl w:ilvl="0" w:tplc="60528D1C">
      <w:start w:val="1"/>
      <w:numFmt w:val="decimal"/>
      <w:lvlText w:val="%1."/>
      <w:lvlJc w:val="left"/>
      <w:pPr>
        <w:ind w:left="720" w:hanging="360"/>
      </w:pPr>
      <w:rPr>
        <w:rFonts w:hint="default"/>
        <w:b w:val="0"/>
        <w:bCs w:val="0"/>
      </w:r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E38E1"/>
    <w:multiLevelType w:val="hybridMultilevel"/>
    <w:tmpl w:val="2B42C848"/>
    <w:lvl w:ilvl="0" w:tplc="0CFA2B6A">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A31E72"/>
    <w:multiLevelType w:val="hybridMultilevel"/>
    <w:tmpl w:val="F172266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C7501"/>
    <w:multiLevelType w:val="hybridMultilevel"/>
    <w:tmpl w:val="10C25D48"/>
    <w:lvl w:ilvl="0" w:tplc="0CFA2B6A">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C28A7"/>
    <w:multiLevelType w:val="hybridMultilevel"/>
    <w:tmpl w:val="7F06B082"/>
    <w:lvl w:ilvl="0" w:tplc="0CFA2B6A">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23AAC"/>
    <w:multiLevelType w:val="hybridMultilevel"/>
    <w:tmpl w:val="4CBAEF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FE0CC7"/>
    <w:multiLevelType w:val="hybridMultilevel"/>
    <w:tmpl w:val="ABBE095C"/>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D640A0"/>
    <w:multiLevelType w:val="hybridMultilevel"/>
    <w:tmpl w:val="E3F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A7A11"/>
    <w:multiLevelType w:val="hybridMultilevel"/>
    <w:tmpl w:val="AD2ACAD4"/>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6251A1"/>
    <w:multiLevelType w:val="hybridMultilevel"/>
    <w:tmpl w:val="8544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76463"/>
    <w:multiLevelType w:val="hybridMultilevel"/>
    <w:tmpl w:val="415CC862"/>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8715595">
    <w:abstractNumId w:val="9"/>
  </w:num>
  <w:num w:numId="2" w16cid:durableId="283970512">
    <w:abstractNumId w:val="1"/>
  </w:num>
  <w:num w:numId="3" w16cid:durableId="1939174141">
    <w:abstractNumId w:val="4"/>
  </w:num>
  <w:num w:numId="4" w16cid:durableId="1710909756">
    <w:abstractNumId w:val="13"/>
  </w:num>
  <w:num w:numId="5" w16cid:durableId="897474562">
    <w:abstractNumId w:val="12"/>
  </w:num>
  <w:num w:numId="6" w16cid:durableId="1443652032">
    <w:abstractNumId w:val="0"/>
  </w:num>
  <w:num w:numId="7" w16cid:durableId="752236722">
    <w:abstractNumId w:val="11"/>
  </w:num>
  <w:num w:numId="8" w16cid:durableId="1955943083">
    <w:abstractNumId w:val="15"/>
  </w:num>
  <w:num w:numId="9" w16cid:durableId="112141253">
    <w:abstractNumId w:val="2"/>
  </w:num>
  <w:num w:numId="10" w16cid:durableId="215896621">
    <w:abstractNumId w:val="3"/>
  </w:num>
  <w:num w:numId="11" w16cid:durableId="1988237509">
    <w:abstractNumId w:val="17"/>
  </w:num>
  <w:num w:numId="12" w16cid:durableId="662004205">
    <w:abstractNumId w:val="8"/>
  </w:num>
  <w:num w:numId="13" w16cid:durableId="2147158273">
    <w:abstractNumId w:val="10"/>
  </w:num>
  <w:num w:numId="14" w16cid:durableId="141582519">
    <w:abstractNumId w:val="18"/>
  </w:num>
  <w:num w:numId="15" w16cid:durableId="980426512">
    <w:abstractNumId w:val="16"/>
  </w:num>
  <w:num w:numId="16" w16cid:durableId="1573202548">
    <w:abstractNumId w:val="14"/>
  </w:num>
  <w:num w:numId="17" w16cid:durableId="1709140328">
    <w:abstractNumId w:val="5"/>
  </w:num>
  <w:num w:numId="18" w16cid:durableId="795372335">
    <w:abstractNumId w:val="7"/>
  </w:num>
  <w:num w:numId="19" w16cid:durableId="1758818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10"/>
    <w:rsid w:val="00002576"/>
    <w:rsid w:val="00005C48"/>
    <w:rsid w:val="00007088"/>
    <w:rsid w:val="00022552"/>
    <w:rsid w:val="000264EA"/>
    <w:rsid w:val="00035181"/>
    <w:rsid w:val="00035F49"/>
    <w:rsid w:val="00042ACC"/>
    <w:rsid w:val="00044606"/>
    <w:rsid w:val="00054AB9"/>
    <w:rsid w:val="00055465"/>
    <w:rsid w:val="0007033F"/>
    <w:rsid w:val="000909DA"/>
    <w:rsid w:val="0009316C"/>
    <w:rsid w:val="0009324F"/>
    <w:rsid w:val="00096879"/>
    <w:rsid w:val="000A02A2"/>
    <w:rsid w:val="000A08FA"/>
    <w:rsid w:val="000A6CC6"/>
    <w:rsid w:val="000B5C10"/>
    <w:rsid w:val="000C6303"/>
    <w:rsid w:val="000D02D9"/>
    <w:rsid w:val="000D6DBC"/>
    <w:rsid w:val="000D70D2"/>
    <w:rsid w:val="000D76AA"/>
    <w:rsid w:val="000E72AF"/>
    <w:rsid w:val="000F0BD0"/>
    <w:rsid w:val="001173A1"/>
    <w:rsid w:val="001174E5"/>
    <w:rsid w:val="00121850"/>
    <w:rsid w:val="00121C7E"/>
    <w:rsid w:val="00122B4B"/>
    <w:rsid w:val="00126F6D"/>
    <w:rsid w:val="001303FA"/>
    <w:rsid w:val="001356FA"/>
    <w:rsid w:val="0014020A"/>
    <w:rsid w:val="00142301"/>
    <w:rsid w:val="0014545A"/>
    <w:rsid w:val="00147D5F"/>
    <w:rsid w:val="0015007C"/>
    <w:rsid w:val="001569C4"/>
    <w:rsid w:val="00157BFF"/>
    <w:rsid w:val="00160EDC"/>
    <w:rsid w:val="001719EA"/>
    <w:rsid w:val="00173E35"/>
    <w:rsid w:val="00175911"/>
    <w:rsid w:val="00175C5A"/>
    <w:rsid w:val="001809B9"/>
    <w:rsid w:val="00185709"/>
    <w:rsid w:val="00191AA8"/>
    <w:rsid w:val="001922EC"/>
    <w:rsid w:val="00193DA5"/>
    <w:rsid w:val="001974C7"/>
    <w:rsid w:val="00197DB8"/>
    <w:rsid w:val="001A1327"/>
    <w:rsid w:val="001A4A60"/>
    <w:rsid w:val="001B1590"/>
    <w:rsid w:val="001B2C26"/>
    <w:rsid w:val="001B60D7"/>
    <w:rsid w:val="001C72F3"/>
    <w:rsid w:val="001D483B"/>
    <w:rsid w:val="001D5376"/>
    <w:rsid w:val="001D66C4"/>
    <w:rsid w:val="001E6AB9"/>
    <w:rsid w:val="001F1269"/>
    <w:rsid w:val="001F2816"/>
    <w:rsid w:val="001F2D9F"/>
    <w:rsid w:val="001F4D54"/>
    <w:rsid w:val="001F666F"/>
    <w:rsid w:val="001F685D"/>
    <w:rsid w:val="00201587"/>
    <w:rsid w:val="00206415"/>
    <w:rsid w:val="00210C88"/>
    <w:rsid w:val="00217E24"/>
    <w:rsid w:val="0022692E"/>
    <w:rsid w:val="002320B5"/>
    <w:rsid w:val="0023471B"/>
    <w:rsid w:val="0023634C"/>
    <w:rsid w:val="002375E9"/>
    <w:rsid w:val="002405C9"/>
    <w:rsid w:val="002425EE"/>
    <w:rsid w:val="00243399"/>
    <w:rsid w:val="00244573"/>
    <w:rsid w:val="00245FD1"/>
    <w:rsid w:val="00255302"/>
    <w:rsid w:val="00261388"/>
    <w:rsid w:val="00261A2D"/>
    <w:rsid w:val="00275280"/>
    <w:rsid w:val="00277093"/>
    <w:rsid w:val="002801F8"/>
    <w:rsid w:val="00292947"/>
    <w:rsid w:val="00295614"/>
    <w:rsid w:val="002A1A2C"/>
    <w:rsid w:val="002A274A"/>
    <w:rsid w:val="002A2D0B"/>
    <w:rsid w:val="002A329A"/>
    <w:rsid w:val="002C7770"/>
    <w:rsid w:val="003003B4"/>
    <w:rsid w:val="003100F6"/>
    <w:rsid w:val="00311027"/>
    <w:rsid w:val="003216E2"/>
    <w:rsid w:val="00337C9C"/>
    <w:rsid w:val="003407DD"/>
    <w:rsid w:val="003422C6"/>
    <w:rsid w:val="00347C10"/>
    <w:rsid w:val="00350F04"/>
    <w:rsid w:val="00352CF0"/>
    <w:rsid w:val="003621D7"/>
    <w:rsid w:val="003665BE"/>
    <w:rsid w:val="003707CF"/>
    <w:rsid w:val="003722DD"/>
    <w:rsid w:val="00375F20"/>
    <w:rsid w:val="00376598"/>
    <w:rsid w:val="00380F84"/>
    <w:rsid w:val="00384C43"/>
    <w:rsid w:val="00392E70"/>
    <w:rsid w:val="00394ABA"/>
    <w:rsid w:val="003B6854"/>
    <w:rsid w:val="003B7BE2"/>
    <w:rsid w:val="003C0A7F"/>
    <w:rsid w:val="003C1075"/>
    <w:rsid w:val="003C4D8B"/>
    <w:rsid w:val="003D075B"/>
    <w:rsid w:val="003D6ADE"/>
    <w:rsid w:val="003F2B5E"/>
    <w:rsid w:val="003F6DFF"/>
    <w:rsid w:val="004025B4"/>
    <w:rsid w:val="00403958"/>
    <w:rsid w:val="00404019"/>
    <w:rsid w:val="00413BDB"/>
    <w:rsid w:val="004149B7"/>
    <w:rsid w:val="004200C3"/>
    <w:rsid w:val="004216BA"/>
    <w:rsid w:val="00421B7E"/>
    <w:rsid w:val="00423112"/>
    <w:rsid w:val="004325A3"/>
    <w:rsid w:val="00432EA5"/>
    <w:rsid w:val="00437AC0"/>
    <w:rsid w:val="00446769"/>
    <w:rsid w:val="0045576E"/>
    <w:rsid w:val="00462944"/>
    <w:rsid w:val="00464F34"/>
    <w:rsid w:val="00465A06"/>
    <w:rsid w:val="004859F2"/>
    <w:rsid w:val="004C228A"/>
    <w:rsid w:val="004C2E20"/>
    <w:rsid w:val="004C7A9F"/>
    <w:rsid w:val="004D006A"/>
    <w:rsid w:val="004D1BD1"/>
    <w:rsid w:val="004D2F1C"/>
    <w:rsid w:val="004D6C1D"/>
    <w:rsid w:val="004E6EC0"/>
    <w:rsid w:val="00504B46"/>
    <w:rsid w:val="00512D19"/>
    <w:rsid w:val="00517262"/>
    <w:rsid w:val="00524B3F"/>
    <w:rsid w:val="005314AF"/>
    <w:rsid w:val="00532602"/>
    <w:rsid w:val="00537A1B"/>
    <w:rsid w:val="005458AC"/>
    <w:rsid w:val="0054662A"/>
    <w:rsid w:val="00550EB1"/>
    <w:rsid w:val="005516FE"/>
    <w:rsid w:val="005519AE"/>
    <w:rsid w:val="00553B8B"/>
    <w:rsid w:val="005639E2"/>
    <w:rsid w:val="00567BB3"/>
    <w:rsid w:val="005801E0"/>
    <w:rsid w:val="00580BAA"/>
    <w:rsid w:val="0058124A"/>
    <w:rsid w:val="00581CB6"/>
    <w:rsid w:val="005826FE"/>
    <w:rsid w:val="00584DEB"/>
    <w:rsid w:val="00585D37"/>
    <w:rsid w:val="00590423"/>
    <w:rsid w:val="005A4901"/>
    <w:rsid w:val="005B1430"/>
    <w:rsid w:val="005B62A4"/>
    <w:rsid w:val="005B74D9"/>
    <w:rsid w:val="005C5546"/>
    <w:rsid w:val="005D0C04"/>
    <w:rsid w:val="005D395C"/>
    <w:rsid w:val="005D62BC"/>
    <w:rsid w:val="005E3C31"/>
    <w:rsid w:val="005E5209"/>
    <w:rsid w:val="005F62D4"/>
    <w:rsid w:val="00603E9E"/>
    <w:rsid w:val="00624B65"/>
    <w:rsid w:val="0062602D"/>
    <w:rsid w:val="00643DCE"/>
    <w:rsid w:val="00644D06"/>
    <w:rsid w:val="00647754"/>
    <w:rsid w:val="00665B7C"/>
    <w:rsid w:val="0067782B"/>
    <w:rsid w:val="00683DBE"/>
    <w:rsid w:val="006911E4"/>
    <w:rsid w:val="00696536"/>
    <w:rsid w:val="006B249B"/>
    <w:rsid w:val="006B409A"/>
    <w:rsid w:val="006C124F"/>
    <w:rsid w:val="006C41C7"/>
    <w:rsid w:val="006D018C"/>
    <w:rsid w:val="006D0A4D"/>
    <w:rsid w:val="006D5672"/>
    <w:rsid w:val="006F5788"/>
    <w:rsid w:val="00703414"/>
    <w:rsid w:val="00703940"/>
    <w:rsid w:val="00710227"/>
    <w:rsid w:val="00713293"/>
    <w:rsid w:val="007269E1"/>
    <w:rsid w:val="0073392A"/>
    <w:rsid w:val="00736043"/>
    <w:rsid w:val="0074794E"/>
    <w:rsid w:val="00760F61"/>
    <w:rsid w:val="007643C5"/>
    <w:rsid w:val="00766DD4"/>
    <w:rsid w:val="007672BD"/>
    <w:rsid w:val="00774652"/>
    <w:rsid w:val="00783989"/>
    <w:rsid w:val="007A635B"/>
    <w:rsid w:val="007B1472"/>
    <w:rsid w:val="007B1B68"/>
    <w:rsid w:val="007B23ED"/>
    <w:rsid w:val="007B4498"/>
    <w:rsid w:val="007B6FDD"/>
    <w:rsid w:val="007D143B"/>
    <w:rsid w:val="007D431B"/>
    <w:rsid w:val="007D611C"/>
    <w:rsid w:val="007D683A"/>
    <w:rsid w:val="007E3027"/>
    <w:rsid w:val="007E4300"/>
    <w:rsid w:val="007F53A2"/>
    <w:rsid w:val="00802EEA"/>
    <w:rsid w:val="00806A02"/>
    <w:rsid w:val="00811E69"/>
    <w:rsid w:val="008230B6"/>
    <w:rsid w:val="00825C56"/>
    <w:rsid w:val="00847678"/>
    <w:rsid w:val="008525D8"/>
    <w:rsid w:val="00854A0B"/>
    <w:rsid w:val="00856955"/>
    <w:rsid w:val="008660DA"/>
    <w:rsid w:val="008660E3"/>
    <w:rsid w:val="00873904"/>
    <w:rsid w:val="00876122"/>
    <w:rsid w:val="0088091C"/>
    <w:rsid w:val="0088590C"/>
    <w:rsid w:val="008941A3"/>
    <w:rsid w:val="008957B7"/>
    <w:rsid w:val="00896BA7"/>
    <w:rsid w:val="0089775E"/>
    <w:rsid w:val="008A25A9"/>
    <w:rsid w:val="008A2B0A"/>
    <w:rsid w:val="008A41AB"/>
    <w:rsid w:val="008B1A85"/>
    <w:rsid w:val="008B2AE5"/>
    <w:rsid w:val="008C2FB1"/>
    <w:rsid w:val="008D1C3D"/>
    <w:rsid w:val="008D35BC"/>
    <w:rsid w:val="008D766F"/>
    <w:rsid w:val="008E5703"/>
    <w:rsid w:val="008E68F2"/>
    <w:rsid w:val="008F03F7"/>
    <w:rsid w:val="008F1735"/>
    <w:rsid w:val="008F38B6"/>
    <w:rsid w:val="008F3BED"/>
    <w:rsid w:val="0091454F"/>
    <w:rsid w:val="009154C2"/>
    <w:rsid w:val="00916373"/>
    <w:rsid w:val="0092194E"/>
    <w:rsid w:val="00922CD8"/>
    <w:rsid w:val="00932565"/>
    <w:rsid w:val="00942999"/>
    <w:rsid w:val="00952074"/>
    <w:rsid w:val="009520B4"/>
    <w:rsid w:val="00954AEB"/>
    <w:rsid w:val="00956209"/>
    <w:rsid w:val="0095710A"/>
    <w:rsid w:val="00971BD6"/>
    <w:rsid w:val="0097351B"/>
    <w:rsid w:val="0098136F"/>
    <w:rsid w:val="00983D4E"/>
    <w:rsid w:val="00994048"/>
    <w:rsid w:val="00996D28"/>
    <w:rsid w:val="009974FF"/>
    <w:rsid w:val="009A6733"/>
    <w:rsid w:val="009C19A3"/>
    <w:rsid w:val="009C2651"/>
    <w:rsid w:val="009D21DB"/>
    <w:rsid w:val="009D2D10"/>
    <w:rsid w:val="009D44CD"/>
    <w:rsid w:val="009D6C6B"/>
    <w:rsid w:val="009E31C9"/>
    <w:rsid w:val="009E4774"/>
    <w:rsid w:val="009E548E"/>
    <w:rsid w:val="009F07FE"/>
    <w:rsid w:val="009F0DEE"/>
    <w:rsid w:val="009F3A7D"/>
    <w:rsid w:val="00A07DD8"/>
    <w:rsid w:val="00A16565"/>
    <w:rsid w:val="00A308EF"/>
    <w:rsid w:val="00A34B9C"/>
    <w:rsid w:val="00A365FF"/>
    <w:rsid w:val="00A5428D"/>
    <w:rsid w:val="00A64DB3"/>
    <w:rsid w:val="00A65E99"/>
    <w:rsid w:val="00A66E11"/>
    <w:rsid w:val="00A71EC4"/>
    <w:rsid w:val="00A81802"/>
    <w:rsid w:val="00A8450F"/>
    <w:rsid w:val="00A96D53"/>
    <w:rsid w:val="00A977E5"/>
    <w:rsid w:val="00A978A6"/>
    <w:rsid w:val="00AB22F9"/>
    <w:rsid w:val="00AC23E3"/>
    <w:rsid w:val="00AC755F"/>
    <w:rsid w:val="00AE11F2"/>
    <w:rsid w:val="00AF3E0C"/>
    <w:rsid w:val="00AF5961"/>
    <w:rsid w:val="00AF76F6"/>
    <w:rsid w:val="00B11771"/>
    <w:rsid w:val="00B13DF8"/>
    <w:rsid w:val="00B15098"/>
    <w:rsid w:val="00B5335A"/>
    <w:rsid w:val="00B545F4"/>
    <w:rsid w:val="00B572E5"/>
    <w:rsid w:val="00B677BD"/>
    <w:rsid w:val="00B70722"/>
    <w:rsid w:val="00B744A1"/>
    <w:rsid w:val="00B81A02"/>
    <w:rsid w:val="00B847C8"/>
    <w:rsid w:val="00B95C79"/>
    <w:rsid w:val="00BA0FD3"/>
    <w:rsid w:val="00BB32BD"/>
    <w:rsid w:val="00BC21DF"/>
    <w:rsid w:val="00BC324E"/>
    <w:rsid w:val="00BC78F1"/>
    <w:rsid w:val="00BD5ED2"/>
    <w:rsid w:val="00BD6462"/>
    <w:rsid w:val="00BD6D5E"/>
    <w:rsid w:val="00BD726A"/>
    <w:rsid w:val="00BE0D0C"/>
    <w:rsid w:val="00BE52F8"/>
    <w:rsid w:val="00BE5A67"/>
    <w:rsid w:val="00BE6A61"/>
    <w:rsid w:val="00BF2F10"/>
    <w:rsid w:val="00BF5776"/>
    <w:rsid w:val="00BF679A"/>
    <w:rsid w:val="00C004A2"/>
    <w:rsid w:val="00C07BFD"/>
    <w:rsid w:val="00C15BB4"/>
    <w:rsid w:val="00C22F9D"/>
    <w:rsid w:val="00C33EDF"/>
    <w:rsid w:val="00C36D10"/>
    <w:rsid w:val="00C41519"/>
    <w:rsid w:val="00C579F5"/>
    <w:rsid w:val="00C669BF"/>
    <w:rsid w:val="00C76EA2"/>
    <w:rsid w:val="00C80671"/>
    <w:rsid w:val="00C81261"/>
    <w:rsid w:val="00C8147F"/>
    <w:rsid w:val="00C86F11"/>
    <w:rsid w:val="00C9043D"/>
    <w:rsid w:val="00C92D28"/>
    <w:rsid w:val="00C93D39"/>
    <w:rsid w:val="00CA2655"/>
    <w:rsid w:val="00CB2C2D"/>
    <w:rsid w:val="00CD6BB5"/>
    <w:rsid w:val="00CE0030"/>
    <w:rsid w:val="00CE5524"/>
    <w:rsid w:val="00CE78F8"/>
    <w:rsid w:val="00CE7E36"/>
    <w:rsid w:val="00CF0D70"/>
    <w:rsid w:val="00CF4B04"/>
    <w:rsid w:val="00D01827"/>
    <w:rsid w:val="00D042B3"/>
    <w:rsid w:val="00D04604"/>
    <w:rsid w:val="00D05D61"/>
    <w:rsid w:val="00D06F9D"/>
    <w:rsid w:val="00D11485"/>
    <w:rsid w:val="00D14F93"/>
    <w:rsid w:val="00D24493"/>
    <w:rsid w:val="00D31068"/>
    <w:rsid w:val="00D3303E"/>
    <w:rsid w:val="00D40D00"/>
    <w:rsid w:val="00D425B6"/>
    <w:rsid w:val="00D43812"/>
    <w:rsid w:val="00D53252"/>
    <w:rsid w:val="00D8300D"/>
    <w:rsid w:val="00D8344E"/>
    <w:rsid w:val="00D84F8E"/>
    <w:rsid w:val="00D853D4"/>
    <w:rsid w:val="00D878F2"/>
    <w:rsid w:val="00D9288C"/>
    <w:rsid w:val="00D93E06"/>
    <w:rsid w:val="00DA27B3"/>
    <w:rsid w:val="00DA61CF"/>
    <w:rsid w:val="00DA74D7"/>
    <w:rsid w:val="00DC1107"/>
    <w:rsid w:val="00DC3A54"/>
    <w:rsid w:val="00DD4A59"/>
    <w:rsid w:val="00DF0A51"/>
    <w:rsid w:val="00DF1806"/>
    <w:rsid w:val="00DF3F3F"/>
    <w:rsid w:val="00DF403F"/>
    <w:rsid w:val="00E12CAF"/>
    <w:rsid w:val="00E153EC"/>
    <w:rsid w:val="00E20591"/>
    <w:rsid w:val="00E20EC6"/>
    <w:rsid w:val="00E26FBB"/>
    <w:rsid w:val="00E2739B"/>
    <w:rsid w:val="00E32E51"/>
    <w:rsid w:val="00E54104"/>
    <w:rsid w:val="00E55B5A"/>
    <w:rsid w:val="00E56108"/>
    <w:rsid w:val="00E70908"/>
    <w:rsid w:val="00E71100"/>
    <w:rsid w:val="00E8209C"/>
    <w:rsid w:val="00EA5817"/>
    <w:rsid w:val="00EB7375"/>
    <w:rsid w:val="00EC3907"/>
    <w:rsid w:val="00ED34CA"/>
    <w:rsid w:val="00ED56EB"/>
    <w:rsid w:val="00EE0A4B"/>
    <w:rsid w:val="00EE261E"/>
    <w:rsid w:val="00EF50D4"/>
    <w:rsid w:val="00EF721C"/>
    <w:rsid w:val="00F0320C"/>
    <w:rsid w:val="00F04DCB"/>
    <w:rsid w:val="00F0762F"/>
    <w:rsid w:val="00F102ED"/>
    <w:rsid w:val="00F23D3E"/>
    <w:rsid w:val="00F32DA5"/>
    <w:rsid w:val="00F34B0B"/>
    <w:rsid w:val="00F41B6B"/>
    <w:rsid w:val="00F432CF"/>
    <w:rsid w:val="00F470CD"/>
    <w:rsid w:val="00F5252C"/>
    <w:rsid w:val="00F63478"/>
    <w:rsid w:val="00F6570A"/>
    <w:rsid w:val="00F65FB6"/>
    <w:rsid w:val="00F745A6"/>
    <w:rsid w:val="00F77094"/>
    <w:rsid w:val="00F77943"/>
    <w:rsid w:val="00F80EE4"/>
    <w:rsid w:val="00F867BC"/>
    <w:rsid w:val="00F900E1"/>
    <w:rsid w:val="00F915B2"/>
    <w:rsid w:val="00F9378A"/>
    <w:rsid w:val="00FA06A8"/>
    <w:rsid w:val="00FA41B2"/>
    <w:rsid w:val="00FB68E5"/>
    <w:rsid w:val="00FC0CDE"/>
    <w:rsid w:val="00FC3031"/>
    <w:rsid w:val="00FC6D67"/>
    <w:rsid w:val="00FD004D"/>
    <w:rsid w:val="00FD65B6"/>
    <w:rsid w:val="00FE2033"/>
    <w:rsid w:val="00FE2BA2"/>
    <w:rsid w:val="00FE311B"/>
    <w:rsid w:val="00FE5E8B"/>
    <w:rsid w:val="00FE65F9"/>
    <w:rsid w:val="00FF1E91"/>
    <w:rsid w:val="00FF3543"/>
    <w:rsid w:val="0A0AFFD6"/>
    <w:rsid w:val="1662275B"/>
    <w:rsid w:val="1CC8BDBF"/>
    <w:rsid w:val="2F3D45B5"/>
    <w:rsid w:val="4F1E1F02"/>
    <w:rsid w:val="5DB97D7E"/>
    <w:rsid w:val="6084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9ECA"/>
  <w15:chartTrackingRefBased/>
  <w15:docId w15:val="{2AAE6ABD-0590-4EEA-ADC9-D0670FD9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F1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BF2F10"/>
  </w:style>
  <w:style w:type="paragraph" w:styleId="PlainText">
    <w:name w:val="Plain Text"/>
    <w:basedOn w:val="Normal"/>
    <w:link w:val="PlainTextChar"/>
    <w:uiPriority w:val="99"/>
    <w:unhideWhenUsed/>
    <w:rsid w:val="00BF2F10"/>
    <w:pPr>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BF2F10"/>
    <w:rPr>
      <w:rFonts w:ascii="Times New Roman" w:hAnsi="Times New Roman" w:cs="Times New Roman"/>
      <w:sz w:val="24"/>
      <w:szCs w:val="24"/>
    </w:rPr>
  </w:style>
  <w:style w:type="character" w:styleId="Hyperlink">
    <w:name w:val="Hyperlink"/>
    <w:basedOn w:val="DefaultParagraphFont"/>
    <w:uiPriority w:val="99"/>
    <w:unhideWhenUsed/>
    <w:rsid w:val="00BF2F10"/>
    <w:rPr>
      <w:color w:val="0563C1"/>
      <w:u w:val="single"/>
    </w:rPr>
  </w:style>
  <w:style w:type="paragraph" w:customStyle="1" w:styleId="xmsolistparagraph">
    <w:name w:val="x_msolistparagraph"/>
    <w:basedOn w:val="Normal"/>
    <w:uiPriority w:val="99"/>
    <w:rsid w:val="0095710A"/>
    <w:pPr>
      <w:spacing w:after="0" w:line="240" w:lineRule="auto"/>
    </w:pPr>
    <w:rPr>
      <w:rFonts w:ascii="Calibri" w:hAnsi="Calibri" w:cs="Calibri"/>
    </w:rPr>
  </w:style>
  <w:style w:type="table" w:customStyle="1" w:styleId="TableGrid1">
    <w:name w:val="Table Grid1"/>
    <w:basedOn w:val="TableNormal"/>
    <w:next w:val="TableGrid"/>
    <w:uiPriority w:val="59"/>
    <w:rsid w:val="0095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0EC6"/>
    <w:pPr>
      <w:spacing w:after="0" w:line="240" w:lineRule="auto"/>
    </w:pPr>
  </w:style>
  <w:style w:type="paragraph" w:styleId="Revision">
    <w:name w:val="Revision"/>
    <w:hidden/>
    <w:uiPriority w:val="99"/>
    <w:semiHidden/>
    <w:rsid w:val="00185709"/>
    <w:pPr>
      <w:spacing w:after="0" w:line="240" w:lineRule="auto"/>
    </w:pPr>
  </w:style>
  <w:style w:type="character" w:styleId="CommentReference">
    <w:name w:val="annotation reference"/>
    <w:basedOn w:val="DefaultParagraphFont"/>
    <w:uiPriority w:val="99"/>
    <w:semiHidden/>
    <w:unhideWhenUsed/>
    <w:rsid w:val="00185709"/>
    <w:rPr>
      <w:sz w:val="16"/>
      <w:szCs w:val="16"/>
    </w:rPr>
  </w:style>
  <w:style w:type="paragraph" w:styleId="CommentText">
    <w:name w:val="annotation text"/>
    <w:basedOn w:val="Normal"/>
    <w:link w:val="CommentTextChar"/>
    <w:uiPriority w:val="99"/>
    <w:unhideWhenUsed/>
    <w:rsid w:val="00185709"/>
    <w:pPr>
      <w:spacing w:line="240" w:lineRule="auto"/>
    </w:pPr>
    <w:rPr>
      <w:sz w:val="20"/>
      <w:szCs w:val="20"/>
    </w:rPr>
  </w:style>
  <w:style w:type="character" w:customStyle="1" w:styleId="CommentTextChar">
    <w:name w:val="Comment Text Char"/>
    <w:basedOn w:val="DefaultParagraphFont"/>
    <w:link w:val="CommentText"/>
    <w:uiPriority w:val="99"/>
    <w:rsid w:val="00185709"/>
    <w:rPr>
      <w:sz w:val="20"/>
      <w:szCs w:val="20"/>
    </w:rPr>
  </w:style>
  <w:style w:type="paragraph" w:styleId="CommentSubject">
    <w:name w:val="annotation subject"/>
    <w:basedOn w:val="CommentText"/>
    <w:next w:val="CommentText"/>
    <w:link w:val="CommentSubjectChar"/>
    <w:uiPriority w:val="99"/>
    <w:semiHidden/>
    <w:unhideWhenUsed/>
    <w:rsid w:val="00185709"/>
    <w:rPr>
      <w:b/>
      <w:bCs/>
    </w:rPr>
  </w:style>
  <w:style w:type="character" w:customStyle="1" w:styleId="CommentSubjectChar">
    <w:name w:val="Comment Subject Char"/>
    <w:basedOn w:val="CommentTextChar"/>
    <w:link w:val="CommentSubject"/>
    <w:uiPriority w:val="99"/>
    <w:semiHidden/>
    <w:rsid w:val="00185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855847">
      <w:bodyDiv w:val="1"/>
      <w:marLeft w:val="0"/>
      <w:marRight w:val="0"/>
      <w:marTop w:val="0"/>
      <w:marBottom w:val="0"/>
      <w:divBdr>
        <w:top w:val="none" w:sz="0" w:space="0" w:color="auto"/>
        <w:left w:val="none" w:sz="0" w:space="0" w:color="auto"/>
        <w:bottom w:val="none" w:sz="0" w:space="0" w:color="auto"/>
        <w:right w:val="none" w:sz="0" w:space="0" w:color="auto"/>
      </w:divBdr>
    </w:div>
    <w:div w:id="10929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aa56cd-e7d5-43d7-a123-cbf982a2e96c" xsi:nil="true"/>
    <lcf76f155ced4ddcb4097134ff3c332f xmlns="b1e57349-1787-472c-ab2a-c03be08a23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766203BB649488EBFD1F9FBCE6B18" ma:contentTypeVersion="18" ma:contentTypeDescription="Create a new document." ma:contentTypeScope="" ma:versionID="0616d8b10c81572722b3191b34852128">
  <xsd:schema xmlns:xsd="http://www.w3.org/2001/XMLSchema" xmlns:xs="http://www.w3.org/2001/XMLSchema" xmlns:p="http://schemas.microsoft.com/office/2006/metadata/properties" xmlns:ns2="b1e57349-1787-472c-ab2a-c03be08a23d9" xmlns:ns3="d4aa56cd-e7d5-43d7-a123-cbf982a2e96c" targetNamespace="http://schemas.microsoft.com/office/2006/metadata/properties" ma:root="true" ma:fieldsID="5588daa77069a762d001b8b938f2244f" ns2:_="" ns3:_="">
    <xsd:import namespace="b1e57349-1787-472c-ab2a-c03be08a23d9"/>
    <xsd:import namespace="d4aa56cd-e7d5-43d7-a123-cbf982a2e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349-1787-472c-ab2a-c03be08a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a56cd-e7d5-43d7-a123-cbf982a2e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a2d80-c2f1-4205-851b-eb20b890b9f3}" ma:internalName="TaxCatchAll" ma:showField="CatchAllData" ma:web="d4aa56cd-e7d5-43d7-a123-cbf982a2e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2F54A-5174-4E4B-BEBC-CF073979449F}">
  <ds:schemaRefs>
    <ds:schemaRef ds:uri="http://schemas.microsoft.com/office/2006/metadata/properties"/>
    <ds:schemaRef ds:uri="http://www.w3.org/2000/xmlns/"/>
    <ds:schemaRef ds:uri="d4aa56cd-e7d5-43d7-a123-cbf982a2e96c"/>
    <ds:schemaRef ds:uri="http://www.w3.org/2001/XMLSchema-instance"/>
    <ds:schemaRef ds:uri="b1e57349-1787-472c-ab2a-c03be08a23d9"/>
    <ds:schemaRef ds:uri="http://schemas.microsoft.com/office/infopath/2007/PartnerControls"/>
  </ds:schemaRefs>
</ds:datastoreItem>
</file>

<file path=customXml/itemProps2.xml><?xml version="1.0" encoding="utf-8"?>
<ds:datastoreItem xmlns:ds="http://schemas.openxmlformats.org/officeDocument/2006/customXml" ds:itemID="{1815288F-607A-4269-9FE7-0BB7E64CB37F}">
  <ds:schemaRefs>
    <ds:schemaRef ds:uri="http://schemas.microsoft.com/office/2006/metadata/contentType"/>
    <ds:schemaRef ds:uri="http://schemas.microsoft.com/office/2006/metadata/properties/metaAttributes"/>
    <ds:schemaRef ds:uri="http://www.w3.org/2000/xmlns/"/>
    <ds:schemaRef ds:uri="http://www.w3.org/2001/XMLSchema"/>
    <ds:schemaRef ds:uri="b1e57349-1787-472c-ab2a-c03be08a23d9"/>
    <ds:schemaRef ds:uri="d4aa56cd-e7d5-43d7-a123-cbf982a2e9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13FE-C420-45CC-984F-BC419A8A4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Herrington</dc:creator>
  <cp:keywords/>
  <dc:description/>
  <cp:lastModifiedBy>Alex Turnbull</cp:lastModifiedBy>
  <cp:revision>5</cp:revision>
  <dcterms:created xsi:type="dcterms:W3CDTF">2025-01-20T19:45:00Z</dcterms:created>
  <dcterms:modified xsi:type="dcterms:W3CDTF">2025-01-20T23:06:00Z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0x010100DBA766203BB649488EBFD1F9FBCE6B18</vt:lpwstr>
  </property>
  <property fmtid="{D5CDD505-2E9C-101B-9397-08002B2CF9AE}" pid="3" name="MediaServiceImageTags">
    <vt:lpwstr/>
  </property>
</Properties>
</file>